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56EEBE">
      <w:pPr>
        <w:spacing w:before="0" w:after="400"/>
        <w:rPr>
          <w:rFonts w:hint="eastAsia" w:ascii="微软雅黑" w:hAnsi="微软雅黑" w:eastAsia="微软雅黑" w:cs="微软雅黑"/>
          <w:color w:val="auto"/>
          <w:sz w:val="28"/>
          <w:szCs w:val="28"/>
        </w:rPr>
      </w:pPr>
    </w:p>
    <w:p w14:paraId="383EFC42">
      <w:pPr>
        <w:spacing w:before="0" w:after="200"/>
        <w:jc w:val="center"/>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lang w:val="en-US" w:eastAsia="zh-CN"/>
        </w:rPr>
        <w:t>鲜境</w:t>
      </w:r>
      <w:r>
        <w:rPr>
          <w:rFonts w:hint="eastAsia" w:ascii="微软雅黑" w:hAnsi="微软雅黑" w:eastAsia="微软雅黑" w:cs="微软雅黑"/>
          <w:b/>
          <w:i w:val="0"/>
          <w:color w:val="auto"/>
          <w:sz w:val="28"/>
          <w:szCs w:val="28"/>
        </w:rPr>
        <w:t>AI 智能客</w:t>
      </w:r>
      <w:bookmarkStart w:id="0" w:name="_GoBack"/>
      <w:bookmarkEnd w:id="0"/>
      <w:r>
        <w:rPr>
          <w:rFonts w:hint="eastAsia" w:ascii="微软雅黑" w:hAnsi="微软雅黑" w:eastAsia="微软雅黑" w:cs="微软雅黑"/>
          <w:b/>
          <w:i w:val="0"/>
          <w:color w:val="auto"/>
          <w:sz w:val="28"/>
          <w:szCs w:val="28"/>
        </w:rPr>
        <w:t>服项目建议书</w:t>
      </w:r>
    </w:p>
    <w:p w14:paraId="6F2122ED">
      <w:pPr>
        <w:spacing w:before="320" w:after="160"/>
        <w:rPr>
          <w:rFonts w:hint="eastAsia" w:ascii="微软雅黑" w:hAnsi="微软雅黑" w:eastAsia="微软雅黑" w:cs="微软雅黑"/>
          <w:b/>
          <w:i w:val="0"/>
          <w:color w:val="auto"/>
          <w:sz w:val="28"/>
          <w:szCs w:val="28"/>
          <w:lang w:val="en-US" w:eastAsia="zh-CN"/>
        </w:rPr>
      </w:pPr>
    </w:p>
    <w:p w14:paraId="35F436BD">
      <w:pPr>
        <w:spacing w:before="320" w:after="160"/>
        <w:rPr>
          <w:rFonts w:hint="eastAsia" w:ascii="微软雅黑" w:hAnsi="微软雅黑" w:eastAsia="微软雅黑" w:cs="微软雅黑"/>
          <w:color w:val="auto"/>
          <w:sz w:val="28"/>
          <w:szCs w:val="28"/>
          <w:lang w:val="en-US" w:eastAsia="zh-CN"/>
        </w:rPr>
      </w:pPr>
      <w:r>
        <w:rPr>
          <w:rFonts w:hint="eastAsia" w:ascii="微软雅黑" w:hAnsi="微软雅黑" w:eastAsia="微软雅黑" w:cs="微软雅黑"/>
          <w:b/>
          <w:i w:val="0"/>
          <w:color w:val="auto"/>
          <w:sz w:val="28"/>
          <w:szCs w:val="28"/>
          <w:lang w:val="en-US" w:eastAsia="zh-CN"/>
        </w:rPr>
        <w:t>一、需求</w:t>
      </w:r>
      <w:r>
        <w:rPr>
          <w:rFonts w:hint="eastAsia" w:cs="微软雅黑"/>
          <w:b/>
          <w:i w:val="0"/>
          <w:color w:val="auto"/>
          <w:sz w:val="28"/>
          <w:szCs w:val="28"/>
          <w:lang w:val="en-US" w:eastAsia="zh-CN"/>
        </w:rPr>
        <w:t>场景</w:t>
      </w:r>
      <w:r>
        <w:rPr>
          <w:rFonts w:hint="eastAsia" w:ascii="微软雅黑" w:hAnsi="微软雅黑" w:eastAsia="微软雅黑" w:cs="微软雅黑"/>
          <w:b/>
          <w:i w:val="0"/>
          <w:color w:val="auto"/>
          <w:sz w:val="28"/>
          <w:szCs w:val="28"/>
          <w:lang w:val="en-US" w:eastAsia="zh-CN"/>
        </w:rPr>
        <w:t>理解</w:t>
      </w:r>
    </w:p>
    <w:p w14:paraId="40828CD3">
      <w:pPr>
        <w:spacing w:after="120"/>
        <w:ind w:firstLine="560" w:firstLineChars="200"/>
        <w:rPr>
          <w:rFonts w:hint="eastAsia" w:ascii="微软雅黑" w:hAnsi="微软雅黑" w:eastAsia="微软雅黑" w:cs="微软雅黑"/>
          <w:color w:val="auto"/>
          <w:sz w:val="28"/>
          <w:szCs w:val="28"/>
        </w:rPr>
      </w:pPr>
      <w:r>
        <w:rPr>
          <w:rFonts w:hint="eastAsia" w:cs="微软雅黑"/>
          <w:b w:val="0"/>
          <w:i w:val="0"/>
          <w:color w:val="auto"/>
          <w:sz w:val="28"/>
          <w:szCs w:val="28"/>
          <w:lang w:val="en-US" w:eastAsia="zh-CN"/>
        </w:rPr>
        <w:t>目前</w:t>
      </w:r>
      <w:r>
        <w:rPr>
          <w:rFonts w:hint="eastAsia" w:ascii="微软雅黑" w:hAnsi="微软雅黑" w:eastAsia="微软雅黑" w:cs="微软雅黑"/>
          <w:b w:val="0"/>
          <w:i w:val="0"/>
          <w:color w:val="auto"/>
          <w:sz w:val="28"/>
          <w:szCs w:val="28"/>
        </w:rPr>
        <w:t>鲜境产品分两大类技术，</w:t>
      </w:r>
      <w:r>
        <w:rPr>
          <w:rFonts w:hint="eastAsia" w:cs="微软雅黑"/>
          <w:b w:val="0"/>
          <w:i w:val="0"/>
          <w:color w:val="auto"/>
          <w:sz w:val="28"/>
          <w:szCs w:val="28"/>
          <w:lang w:val="en-US" w:eastAsia="zh-CN"/>
        </w:rPr>
        <w:t>客户触达环节</w:t>
      </w:r>
      <w:r>
        <w:rPr>
          <w:rFonts w:hint="eastAsia" w:ascii="微软雅黑" w:hAnsi="微软雅黑" w:eastAsia="微软雅黑" w:cs="微软雅黑"/>
          <w:b w:val="0"/>
          <w:i w:val="0"/>
          <w:color w:val="auto"/>
          <w:sz w:val="28"/>
          <w:szCs w:val="28"/>
        </w:rPr>
        <w:t>需</w:t>
      </w:r>
      <w:r>
        <w:rPr>
          <w:rFonts w:hint="eastAsia" w:cs="微软雅黑"/>
          <w:b w:val="0"/>
          <w:i w:val="0"/>
          <w:color w:val="auto"/>
          <w:sz w:val="28"/>
          <w:szCs w:val="28"/>
          <w:lang w:val="en-US" w:eastAsia="zh-CN"/>
        </w:rPr>
        <w:t>严重依赖员工对产品的熟悉程度以及对客户需求解决方案的理解程度</w:t>
      </w:r>
      <w:r>
        <w:rPr>
          <w:rFonts w:hint="eastAsia" w:ascii="微软雅黑" w:hAnsi="微软雅黑" w:eastAsia="微软雅黑" w:cs="微软雅黑"/>
          <w:b w:val="0"/>
          <w:i w:val="0"/>
          <w:color w:val="auto"/>
          <w:sz w:val="28"/>
          <w:szCs w:val="28"/>
        </w:rPr>
        <w:t>。这是典型的「卖方案」模式，判断逻辑存在资深销售脑子里，无法沉淀、</w:t>
      </w:r>
      <w:r>
        <w:rPr>
          <w:rFonts w:hint="eastAsia" w:cs="微软雅黑"/>
          <w:b w:val="0"/>
          <w:i w:val="0"/>
          <w:color w:val="auto"/>
          <w:sz w:val="28"/>
          <w:szCs w:val="28"/>
          <w:lang w:val="en-US" w:eastAsia="zh-CN"/>
        </w:rPr>
        <w:t>难以</w:t>
      </w:r>
      <w:r>
        <w:rPr>
          <w:rFonts w:hint="eastAsia" w:ascii="微软雅黑" w:hAnsi="微软雅黑" w:eastAsia="微软雅黑" w:cs="微软雅黑"/>
          <w:b w:val="0"/>
          <w:i w:val="0"/>
          <w:color w:val="auto"/>
          <w:sz w:val="28"/>
          <w:szCs w:val="28"/>
        </w:rPr>
        <w:t>复制。</w:t>
      </w:r>
    </w:p>
    <w:p w14:paraId="4DD65D5D">
      <w:pPr>
        <w:spacing w:after="120"/>
        <w:ind w:firstLine="560" w:firstLineChars="200"/>
        <w:rPr>
          <w:rFonts w:hint="eastAsia" w:ascii="微软雅黑" w:hAnsi="微软雅黑" w:eastAsia="微软雅黑" w:cs="微软雅黑"/>
          <w:color w:val="auto"/>
          <w:sz w:val="28"/>
          <w:szCs w:val="28"/>
        </w:rPr>
      </w:pPr>
      <w:r>
        <w:rPr>
          <w:rFonts w:hint="eastAsia" w:cs="微软雅黑"/>
          <w:b/>
          <w:i w:val="0"/>
          <w:color w:val="auto"/>
          <w:sz w:val="28"/>
          <w:szCs w:val="28"/>
          <w:lang w:val="en-US" w:eastAsia="zh-CN"/>
        </w:rPr>
        <w:t>1、实际</w:t>
      </w:r>
      <w:r>
        <w:rPr>
          <w:rFonts w:hint="eastAsia" w:ascii="微软雅黑" w:hAnsi="微软雅黑" w:eastAsia="微软雅黑" w:cs="微软雅黑"/>
          <w:b/>
          <w:i w:val="0"/>
          <w:color w:val="auto"/>
          <w:sz w:val="28"/>
          <w:szCs w:val="28"/>
        </w:rPr>
        <w:t>效率痛点：</w:t>
      </w:r>
      <w:r>
        <w:rPr>
          <w:rFonts w:hint="eastAsia" w:ascii="微软雅黑" w:hAnsi="微软雅黑" w:eastAsia="微软雅黑" w:cs="微软雅黑"/>
          <w:b w:val="0"/>
          <w:i w:val="0"/>
          <w:color w:val="auto"/>
          <w:sz w:val="28"/>
          <w:szCs w:val="28"/>
        </w:rPr>
        <w:t>大量 FB 询盘人工处理量大、重复劳动多，晚上下班无人接待，客户流失。现有「商务通」回复机械化、无法针对性应答。</w:t>
      </w:r>
    </w:p>
    <w:p w14:paraId="682A990B">
      <w:pPr>
        <w:spacing w:after="120"/>
        <w:ind w:firstLine="560" w:firstLineChars="200"/>
        <w:rPr>
          <w:rFonts w:hint="eastAsia" w:ascii="微软雅黑" w:hAnsi="微软雅黑" w:eastAsia="微软雅黑" w:cs="微软雅黑"/>
          <w:color w:val="auto"/>
          <w:sz w:val="28"/>
          <w:szCs w:val="28"/>
        </w:rPr>
      </w:pPr>
      <w:r>
        <w:rPr>
          <w:rFonts w:hint="eastAsia" w:cs="微软雅黑"/>
          <w:b/>
          <w:i w:val="0"/>
          <w:color w:val="auto"/>
          <w:sz w:val="28"/>
          <w:szCs w:val="28"/>
          <w:lang w:val="en-US" w:eastAsia="zh-CN"/>
        </w:rPr>
        <w:t>2、紧急程度</w:t>
      </w:r>
      <w:r>
        <w:rPr>
          <w:rFonts w:hint="eastAsia" w:ascii="微软雅黑" w:hAnsi="微软雅黑" w:eastAsia="微软雅黑" w:cs="微软雅黑"/>
          <w:b/>
          <w:i w:val="0"/>
          <w:color w:val="auto"/>
          <w:sz w:val="28"/>
          <w:szCs w:val="28"/>
        </w:rPr>
        <w:t>：</w:t>
      </w:r>
      <w:r>
        <w:rPr>
          <w:rFonts w:hint="eastAsia" w:cs="微软雅黑"/>
          <w:b w:val="0"/>
          <w:bCs/>
          <w:i w:val="0"/>
          <w:color w:val="auto"/>
          <w:sz w:val="28"/>
          <w:szCs w:val="28"/>
          <w:lang w:val="en-US" w:eastAsia="zh-CN"/>
        </w:rPr>
        <w:t>企业经营目前</w:t>
      </w:r>
      <w:r>
        <w:rPr>
          <w:rFonts w:hint="eastAsia" w:ascii="微软雅黑" w:hAnsi="微软雅黑" w:eastAsia="微软雅黑" w:cs="微软雅黑"/>
          <w:b w:val="0"/>
          <w:bCs/>
          <w:i w:val="0"/>
          <w:color w:val="auto"/>
          <w:sz w:val="28"/>
          <w:szCs w:val="28"/>
        </w:rPr>
        <w:t>最痛、最高频、见效最快的场景</w:t>
      </w:r>
      <w:r>
        <w:rPr>
          <w:rFonts w:hint="eastAsia" w:cs="微软雅黑"/>
          <w:b w:val="0"/>
          <w:bCs/>
          <w:i w:val="0"/>
          <w:color w:val="auto"/>
          <w:sz w:val="28"/>
          <w:szCs w:val="28"/>
          <w:lang w:eastAsia="zh-CN"/>
        </w:rPr>
        <w:t>。</w:t>
      </w:r>
      <w:r>
        <w:rPr>
          <w:rFonts w:hint="eastAsia" w:ascii="微软雅黑" w:hAnsi="微软雅黑" w:eastAsia="微软雅黑" w:cs="微软雅黑"/>
          <w:b w:val="0"/>
          <w:i w:val="0"/>
          <w:color w:val="auto"/>
          <w:sz w:val="28"/>
          <w:szCs w:val="28"/>
        </w:rPr>
        <w:t>一次建设可同时覆盖「线上咨询」与「面谈辅助」两种交互，能力可复用到获客、售后等后续场景，天然适合作为 FDE 合作的首个信任样板。</w:t>
      </w:r>
    </w:p>
    <w:p w14:paraId="30E5086C">
      <w:pPr>
        <w:spacing w:before="320" w:after="16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lang w:val="en-US" w:eastAsia="zh-CN"/>
        </w:rPr>
        <w:t>二、</w:t>
      </w:r>
      <w:r>
        <w:rPr>
          <w:rFonts w:hint="eastAsia" w:cs="微软雅黑"/>
          <w:b/>
          <w:i w:val="0"/>
          <w:color w:val="auto"/>
          <w:sz w:val="28"/>
          <w:szCs w:val="28"/>
          <w:lang w:val="en-US" w:eastAsia="zh-CN"/>
        </w:rPr>
        <w:t>AI智能客服实施</w:t>
      </w:r>
      <w:r>
        <w:rPr>
          <w:rFonts w:hint="eastAsia" w:ascii="微软雅黑" w:hAnsi="微软雅黑" w:eastAsia="微软雅黑" w:cs="微软雅黑"/>
          <w:b/>
          <w:i w:val="0"/>
          <w:color w:val="auto"/>
          <w:sz w:val="28"/>
          <w:szCs w:val="28"/>
        </w:rPr>
        <w:t>方案</w:t>
      </w:r>
    </w:p>
    <w:p w14:paraId="76774B21">
      <w:pPr>
        <w:spacing w:after="120"/>
        <w:ind w:firstLine="560" w:firstLineChars="200"/>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lang w:val="en-US" w:eastAsia="zh-CN"/>
        </w:rPr>
        <w:t>将</w:t>
      </w:r>
      <w:r>
        <w:rPr>
          <w:rFonts w:hint="eastAsia" w:ascii="微软雅黑" w:hAnsi="微软雅黑" w:eastAsia="微软雅黑" w:cs="微软雅黑"/>
          <w:b w:val="0"/>
          <w:i w:val="0"/>
          <w:color w:val="auto"/>
          <w:sz w:val="28"/>
          <w:szCs w:val="28"/>
        </w:rPr>
        <w:t>鲜境的产品信息、技术资料、解决方案知识统一建成知识库，用 AI 完成「意图识别 → 追问 → 方案生成」的对话闭环。</w:t>
      </w:r>
    </w:p>
    <w:p w14:paraId="118B34F5">
      <w:pPr>
        <w:spacing w:after="120"/>
        <w:ind w:firstLine="560" w:firstLineChars="20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场景 A · 线上智能咨询（无人值守）：</w:t>
      </w:r>
      <w:r>
        <w:rPr>
          <w:rFonts w:hint="eastAsia" w:ascii="微软雅黑" w:hAnsi="微软雅黑" w:eastAsia="微软雅黑" w:cs="微软雅黑"/>
          <w:b w:val="0"/>
          <w:i w:val="0"/>
          <w:color w:val="auto"/>
          <w:sz w:val="28"/>
          <w:szCs w:val="28"/>
        </w:rPr>
        <w:t>网站 / FB 访客咨询，AI 基于知识库识别意图、针对性追问、生成方案；答不上时转人工并留联系方式，实现 7×24 小时接待。</w:t>
      </w:r>
    </w:p>
    <w:p w14:paraId="443BE21E">
      <w:pPr>
        <w:spacing w:after="120"/>
        <w:ind w:firstLine="560" w:firstLineChars="20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场景 B · 面谈辅助</w:t>
      </w:r>
      <w:r>
        <w:rPr>
          <w:rFonts w:hint="eastAsia" w:cs="微软雅黑"/>
          <w:b/>
          <w:i w:val="0"/>
          <w:color w:val="auto"/>
          <w:sz w:val="28"/>
          <w:szCs w:val="28"/>
          <w:lang w:val="en-US" w:eastAsia="zh-CN"/>
        </w:rPr>
        <w:t>提效</w:t>
      </w:r>
      <w:r>
        <w:rPr>
          <w:rFonts w:hint="eastAsia" w:ascii="微软雅黑" w:hAnsi="微软雅黑" w:eastAsia="微软雅黑" w:cs="微软雅黑"/>
          <w:b/>
          <w:i w:val="0"/>
          <w:color w:val="auto"/>
          <w:sz w:val="28"/>
          <w:szCs w:val="28"/>
        </w:rPr>
        <w:t>（销售提效）：</w:t>
      </w:r>
      <w:r>
        <w:rPr>
          <w:rFonts w:hint="eastAsia" w:ascii="微软雅黑" w:hAnsi="微软雅黑" w:eastAsia="微软雅黑" w:cs="微软雅黑"/>
          <w:b w:val="0"/>
          <w:i w:val="0"/>
          <w:color w:val="auto"/>
          <w:sz w:val="28"/>
          <w:szCs w:val="28"/>
        </w:rPr>
        <w:t>销售与客户沟通时，录音 → 语音转文字 → 匹配知识库 → 自动生成解决方案，让「不懂技术的销售」也能准确推荐。</w:t>
      </w:r>
    </w:p>
    <w:p w14:paraId="25C9311C">
      <w:pPr>
        <w:spacing w:after="120"/>
        <w:ind w:firstLine="560" w:firstLineChars="20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核心逻辑 · 知识库 + 上下文追问：</w:t>
      </w:r>
      <w:r>
        <w:rPr>
          <w:rFonts w:hint="eastAsia" w:ascii="微软雅黑" w:hAnsi="微软雅黑" w:eastAsia="微软雅黑" w:cs="微软雅黑"/>
          <w:b w:val="0"/>
          <w:i w:val="0"/>
          <w:color w:val="auto"/>
          <w:sz w:val="28"/>
          <w:szCs w:val="28"/>
        </w:rPr>
        <w:t>像人一样「先判断、再追问」——第一个问题判断客户需求，后续问题逐步收敛，最终输出匹配的产品组合与方案，而不是机械的 FAQ 式一问一答。</w:t>
      </w:r>
    </w:p>
    <w:p w14:paraId="462EF983">
      <w:pPr>
        <w:spacing w:before="320" w:after="160"/>
        <w:ind w:firstLine="560" w:firstLineChars="200"/>
        <w:rPr>
          <w:rFonts w:hint="eastAsia" w:ascii="微软雅黑" w:hAnsi="微软雅黑" w:eastAsia="微软雅黑" w:cs="微软雅黑"/>
          <w:color w:val="auto"/>
          <w:sz w:val="28"/>
          <w:szCs w:val="28"/>
        </w:rPr>
      </w:pPr>
      <w:r>
        <w:rPr>
          <w:rFonts w:hint="eastAsia" w:cs="微软雅黑"/>
          <w:b/>
          <w:i w:val="0"/>
          <w:color w:val="auto"/>
          <w:sz w:val="28"/>
          <w:szCs w:val="28"/>
          <w:lang w:val="en-US" w:eastAsia="zh-CN"/>
        </w:rPr>
        <w:t>1、</w:t>
      </w:r>
      <w:r>
        <w:rPr>
          <w:rFonts w:hint="eastAsia" w:ascii="微软雅黑" w:hAnsi="微软雅黑" w:eastAsia="微软雅黑" w:cs="微软雅黑"/>
          <w:b/>
          <w:i w:val="0"/>
          <w:color w:val="auto"/>
          <w:sz w:val="28"/>
          <w:szCs w:val="28"/>
        </w:rPr>
        <w:t>功能范围（MVP）</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4"/>
        <w:gridCol w:w="3046"/>
        <w:gridCol w:w="4146"/>
      </w:tblGrid>
      <w:tr w14:paraId="52BB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shd w:val="clear" w:color="auto" w:fill="1F3B66"/>
          </w:tcPr>
          <w:p w14:paraId="1D684462">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模块</w:t>
            </w:r>
          </w:p>
        </w:tc>
        <w:tc>
          <w:tcPr>
            <w:tcW w:w="3118" w:type="dxa"/>
            <w:shd w:val="clear" w:color="auto" w:fill="1F3B66"/>
          </w:tcPr>
          <w:p w14:paraId="4265B728">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功能</w:t>
            </w:r>
          </w:p>
        </w:tc>
        <w:tc>
          <w:tcPr>
            <w:tcW w:w="4252" w:type="dxa"/>
            <w:shd w:val="clear" w:color="auto" w:fill="1F3B66"/>
          </w:tcPr>
          <w:p w14:paraId="7BBC801D">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说明</w:t>
            </w:r>
          </w:p>
        </w:tc>
      </w:tr>
      <w:tr w14:paraId="7B1E6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3AEDD2D3">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知识库构建</w:t>
            </w:r>
          </w:p>
        </w:tc>
        <w:tc>
          <w:tcPr>
            <w:tcW w:w="3118" w:type="dxa"/>
          </w:tcPr>
          <w:p w14:paraId="5303505F">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产品资料 / 技术资料 / 方案知识结构化入库</w:t>
            </w:r>
          </w:p>
        </w:tc>
        <w:tc>
          <w:tcPr>
            <w:tcW w:w="4252" w:type="dxa"/>
          </w:tcPr>
          <w:p w14:paraId="7FE00DE6">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梳理产品信息、参数、适用场景、解决方案，建立可检索知识库</w:t>
            </w:r>
          </w:p>
        </w:tc>
      </w:tr>
      <w:tr w14:paraId="470C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367CFEDD">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智能问答引擎</w:t>
            </w:r>
          </w:p>
        </w:tc>
        <w:tc>
          <w:tcPr>
            <w:tcW w:w="3118" w:type="dxa"/>
          </w:tcPr>
          <w:p w14:paraId="1DE173D6">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意图识别 + 上下文追问</w:t>
            </w:r>
          </w:p>
        </w:tc>
        <w:tc>
          <w:tcPr>
            <w:tcW w:w="4252" w:type="dxa"/>
          </w:tcPr>
          <w:p w14:paraId="497E6B30">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理解客户问题，按需追问关键条件，逐步收敛需求</w:t>
            </w:r>
          </w:p>
        </w:tc>
      </w:tr>
      <w:tr w14:paraId="1820C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55518DE4">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方案生成</w:t>
            </w:r>
          </w:p>
        </w:tc>
        <w:tc>
          <w:tcPr>
            <w:tcW w:w="3118" w:type="dxa"/>
          </w:tcPr>
          <w:p w14:paraId="24EC266A">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自动推荐产品组合 + 输出方案说明</w:t>
            </w:r>
          </w:p>
        </w:tc>
        <w:tc>
          <w:tcPr>
            <w:tcW w:w="4252" w:type="dxa"/>
          </w:tcPr>
          <w:p w14:paraId="1D7B7149">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基于判定结果匹配产品，生成可发送的方案文本</w:t>
            </w:r>
          </w:p>
        </w:tc>
      </w:tr>
      <w:tr w14:paraId="1760E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1A1299CC">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人工接管</w:t>
            </w:r>
          </w:p>
        </w:tc>
        <w:tc>
          <w:tcPr>
            <w:tcW w:w="3118" w:type="dxa"/>
          </w:tcPr>
          <w:p w14:paraId="44D20B7E">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答不上转人工 + 留资</w:t>
            </w:r>
          </w:p>
        </w:tc>
        <w:tc>
          <w:tcPr>
            <w:tcW w:w="4252" w:type="dxa"/>
          </w:tcPr>
          <w:p w14:paraId="7189FC1D">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低置信度问题转人工，无人时留存联系方式</w:t>
            </w:r>
          </w:p>
        </w:tc>
      </w:tr>
      <w:tr w14:paraId="51F8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5CE8EB22">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后台管理</w:t>
            </w:r>
          </w:p>
        </w:tc>
        <w:tc>
          <w:tcPr>
            <w:tcW w:w="3118" w:type="dxa"/>
          </w:tcPr>
          <w:p w14:paraId="0006FE2A">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知识库维护、对话记录、效果看板</w:t>
            </w:r>
          </w:p>
        </w:tc>
        <w:tc>
          <w:tcPr>
            <w:tcW w:w="4252" w:type="dxa"/>
          </w:tcPr>
          <w:p w14:paraId="454DB4E9">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持续更新知识库，监控问答效果与客户反馈</w:t>
            </w:r>
          </w:p>
        </w:tc>
      </w:tr>
    </w:tbl>
    <w:p w14:paraId="44625A86">
      <w:pPr>
        <w:spacing w:before="320" w:after="160"/>
        <w:ind w:firstLine="560" w:firstLineChars="20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 xml:space="preserve"> </w:t>
      </w:r>
      <w:r>
        <w:rPr>
          <w:rFonts w:hint="eastAsia" w:cs="微软雅黑"/>
          <w:b/>
          <w:i w:val="0"/>
          <w:color w:val="auto"/>
          <w:sz w:val="28"/>
          <w:szCs w:val="28"/>
          <w:lang w:val="en-US" w:eastAsia="zh-CN"/>
        </w:rPr>
        <w:t>2、</w:t>
      </w:r>
      <w:r>
        <w:rPr>
          <w:rFonts w:hint="eastAsia" w:ascii="微软雅黑" w:hAnsi="微软雅黑" w:eastAsia="微软雅黑" w:cs="微软雅黑"/>
          <w:b/>
          <w:i w:val="0"/>
          <w:color w:val="auto"/>
          <w:sz w:val="28"/>
          <w:szCs w:val="28"/>
        </w:rPr>
        <w:t>技术架构</w:t>
      </w:r>
    </w:p>
    <w:p w14:paraId="742BFB50">
      <w:pPr>
        <w:spacing w:after="12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 接入层：</w:t>
      </w:r>
      <w:r>
        <w:rPr>
          <w:rFonts w:hint="eastAsia" w:ascii="微软雅黑" w:hAnsi="微软雅黑" w:eastAsia="微软雅黑" w:cs="微软雅黑"/>
          <w:b w:val="0"/>
          <w:i w:val="0"/>
          <w:color w:val="auto"/>
          <w:sz w:val="28"/>
          <w:szCs w:val="28"/>
        </w:rPr>
        <w:t>多渠道——网站、FB、邮件、面谈录音等多入口，统一接入对话。</w:t>
      </w:r>
    </w:p>
    <w:p w14:paraId="47902A2D">
      <w:pPr>
        <w:spacing w:after="12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 能力层：</w:t>
      </w:r>
      <w:r>
        <w:rPr>
          <w:rFonts w:hint="eastAsia" w:ascii="微软雅黑" w:hAnsi="微软雅黑" w:eastAsia="微软雅黑" w:cs="微软雅黑"/>
          <w:b w:val="0"/>
          <w:i w:val="0"/>
          <w:color w:val="auto"/>
          <w:sz w:val="28"/>
          <w:szCs w:val="28"/>
        </w:rPr>
        <w:t>知识库 + 大模型——自建知识库 + 大模型（支持私有化/国产模型选型），RAG 检索增强生成。</w:t>
      </w:r>
    </w:p>
    <w:p w14:paraId="68266B86">
      <w:pPr>
        <w:spacing w:after="12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 治理层：</w:t>
      </w:r>
      <w:r>
        <w:rPr>
          <w:rFonts w:hint="eastAsia" w:ascii="微软雅黑" w:hAnsi="微软雅黑" w:eastAsia="微软雅黑" w:cs="微软雅黑"/>
          <w:b w:val="0"/>
          <w:i w:val="0"/>
          <w:color w:val="auto"/>
          <w:sz w:val="28"/>
          <w:szCs w:val="28"/>
        </w:rPr>
        <w:t>安全 + 评测——权限控制、敏感信息识别、幻觉率监控，AI Eval 持续评测效果。</w:t>
      </w:r>
    </w:p>
    <w:p w14:paraId="7F85CA5C">
      <w:pPr>
        <w:spacing w:after="120"/>
        <w:ind w:firstLine="560" w:firstLineChars="20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技术选型原则：</w:t>
      </w:r>
      <w:r>
        <w:rPr>
          <w:rFonts w:hint="eastAsia" w:ascii="微软雅黑" w:hAnsi="微软雅黑" w:eastAsia="微软雅黑" w:cs="微软雅黑"/>
          <w:b w:val="0"/>
          <w:i w:val="0"/>
          <w:color w:val="auto"/>
          <w:sz w:val="28"/>
          <w:szCs w:val="28"/>
        </w:rPr>
        <w:t>数据自主可控、避开对第三方平台（如阿里）的数据依赖；模型可按需选择国内（智谱等）或海外（Gemini 等），优先考虑成本与效果平衡的选型。</w:t>
      </w:r>
    </w:p>
    <w:p w14:paraId="6D408B97">
      <w:pPr>
        <w:spacing w:before="320" w:after="16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lang w:val="en-US" w:eastAsia="zh-CN"/>
        </w:rPr>
        <w:t>三、</w:t>
      </w:r>
      <w:r>
        <w:rPr>
          <w:rFonts w:hint="eastAsia" w:cs="微软雅黑"/>
          <w:b/>
          <w:i w:val="0"/>
          <w:color w:val="auto"/>
          <w:sz w:val="28"/>
          <w:szCs w:val="28"/>
          <w:lang w:val="en-US" w:eastAsia="zh-CN"/>
        </w:rPr>
        <w:t>项目</w:t>
      </w:r>
      <w:r>
        <w:rPr>
          <w:rFonts w:hint="eastAsia" w:ascii="微软雅黑" w:hAnsi="微软雅黑" w:eastAsia="微软雅黑" w:cs="微软雅黑"/>
          <w:b/>
          <w:i w:val="0"/>
          <w:color w:val="auto"/>
          <w:sz w:val="28"/>
          <w:szCs w:val="28"/>
        </w:rPr>
        <w:t>实施计划</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7"/>
        <w:gridCol w:w="3317"/>
        <w:gridCol w:w="1387"/>
        <w:gridCol w:w="2765"/>
      </w:tblGrid>
      <w:tr w14:paraId="25FE0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shd w:val="clear" w:color="auto" w:fill="1F3B66"/>
          </w:tcPr>
          <w:p w14:paraId="683EA3C4">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阶段</w:t>
            </w:r>
          </w:p>
        </w:tc>
        <w:tc>
          <w:tcPr>
            <w:tcW w:w="3402" w:type="dxa"/>
            <w:shd w:val="clear" w:color="auto" w:fill="1F3B66"/>
          </w:tcPr>
          <w:p w14:paraId="384E9EBB">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内容</w:t>
            </w:r>
          </w:p>
        </w:tc>
        <w:tc>
          <w:tcPr>
            <w:tcW w:w="1417" w:type="dxa"/>
            <w:shd w:val="clear" w:color="auto" w:fill="1F3B66"/>
          </w:tcPr>
          <w:p w14:paraId="10F5FCE6">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周期</w:t>
            </w:r>
          </w:p>
        </w:tc>
        <w:tc>
          <w:tcPr>
            <w:tcW w:w="2835" w:type="dxa"/>
            <w:shd w:val="clear" w:color="auto" w:fill="1F3B66"/>
          </w:tcPr>
          <w:p w14:paraId="50BABE9E">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交付物</w:t>
            </w:r>
          </w:p>
        </w:tc>
      </w:tr>
      <w:tr w14:paraId="6F3F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6D615E54">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第 1 周</w:t>
            </w:r>
          </w:p>
        </w:tc>
        <w:tc>
          <w:tcPr>
            <w:tcW w:w="3402" w:type="dxa"/>
          </w:tcPr>
          <w:p w14:paraId="187778B3">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需求确认 + 知识库资料收集</w:t>
            </w:r>
          </w:p>
        </w:tc>
        <w:tc>
          <w:tcPr>
            <w:tcW w:w="1417" w:type="dxa"/>
          </w:tcPr>
          <w:p w14:paraId="1D5638BB">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3–5 天</w:t>
            </w:r>
          </w:p>
        </w:tc>
        <w:tc>
          <w:tcPr>
            <w:tcW w:w="2835" w:type="dxa"/>
          </w:tcPr>
          <w:p w14:paraId="34B49829">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需求清单、知识库资料清单</w:t>
            </w:r>
          </w:p>
        </w:tc>
      </w:tr>
      <w:tr w14:paraId="2B3B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455A01FC">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第 2 周</w:t>
            </w:r>
          </w:p>
        </w:tc>
        <w:tc>
          <w:tcPr>
            <w:tcW w:w="3402" w:type="dxa"/>
          </w:tcPr>
          <w:p w14:paraId="6C6D60B0">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知识库构建 + Concept Demo</w:t>
            </w:r>
          </w:p>
        </w:tc>
        <w:tc>
          <w:tcPr>
            <w:tcW w:w="1417" w:type="dxa"/>
          </w:tcPr>
          <w:p w14:paraId="6E9C7B6A">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5 天</w:t>
            </w:r>
          </w:p>
        </w:tc>
        <w:tc>
          <w:tcPr>
            <w:tcW w:w="2835" w:type="dxa"/>
          </w:tcPr>
          <w:p w14:paraId="2A7F91DD">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可运行概念 Demo</w:t>
            </w:r>
          </w:p>
        </w:tc>
      </w:tr>
      <w:tr w14:paraId="33727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6ADC5A8F">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第 3 周</w:t>
            </w:r>
          </w:p>
        </w:tc>
        <w:tc>
          <w:tcPr>
            <w:tcW w:w="3402" w:type="dxa"/>
          </w:tcPr>
          <w:p w14:paraId="53625224">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Real Data Demo（真实数据验证）</w:t>
            </w:r>
          </w:p>
        </w:tc>
        <w:tc>
          <w:tcPr>
            <w:tcW w:w="1417" w:type="dxa"/>
          </w:tcPr>
          <w:p w14:paraId="5AD969C5">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3–5 天</w:t>
            </w:r>
          </w:p>
        </w:tc>
        <w:tc>
          <w:tcPr>
            <w:tcW w:w="2835" w:type="dxa"/>
          </w:tcPr>
          <w:p w14:paraId="76893D95">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真实场景验证报告</w:t>
            </w:r>
          </w:p>
        </w:tc>
      </w:tr>
      <w:tr w14:paraId="4442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7D01E7B0">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第 4–6 周</w:t>
            </w:r>
          </w:p>
        </w:tc>
        <w:tc>
          <w:tcPr>
            <w:tcW w:w="3402" w:type="dxa"/>
          </w:tcPr>
          <w:p w14:paraId="3F12DC5C">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MVP 开发 + 上线试运行</w:t>
            </w:r>
          </w:p>
        </w:tc>
        <w:tc>
          <w:tcPr>
            <w:tcW w:w="1417" w:type="dxa"/>
          </w:tcPr>
          <w:p w14:paraId="4D8B1C8F">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2–3 周</w:t>
            </w:r>
          </w:p>
        </w:tc>
        <w:tc>
          <w:tcPr>
            <w:tcW w:w="2835" w:type="dxa"/>
          </w:tcPr>
          <w:p w14:paraId="38ED3823">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可上线 MVP、UAT 报告</w:t>
            </w:r>
          </w:p>
        </w:tc>
      </w:tr>
      <w:tr w14:paraId="29B4E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7" w:type="dxa"/>
          </w:tcPr>
          <w:p w14:paraId="7C35F79D">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第 7 周起</w:t>
            </w:r>
          </w:p>
        </w:tc>
        <w:tc>
          <w:tcPr>
            <w:tcW w:w="3402" w:type="dxa"/>
          </w:tcPr>
          <w:p w14:paraId="5F673C66">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效果运营 + 迭代优化</w:t>
            </w:r>
          </w:p>
        </w:tc>
        <w:tc>
          <w:tcPr>
            <w:tcW w:w="1417" w:type="dxa"/>
          </w:tcPr>
          <w:p w14:paraId="311E197F">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持续</w:t>
            </w:r>
          </w:p>
        </w:tc>
        <w:tc>
          <w:tcPr>
            <w:tcW w:w="2835" w:type="dxa"/>
          </w:tcPr>
          <w:p w14:paraId="032BD169">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效果看板、优化迭代</w:t>
            </w:r>
          </w:p>
        </w:tc>
      </w:tr>
    </w:tbl>
    <w:p w14:paraId="0DCAF56C">
      <w:pPr>
        <w:spacing w:before="320" w:after="16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lang w:val="en-US" w:eastAsia="zh-CN"/>
        </w:rPr>
        <w:t>四、</w:t>
      </w:r>
      <w:r>
        <w:rPr>
          <w:rFonts w:hint="eastAsia" w:ascii="微软雅黑" w:hAnsi="微软雅黑" w:eastAsia="微软雅黑" w:cs="微软雅黑"/>
          <w:b/>
          <w:i w:val="0"/>
          <w:color w:val="auto"/>
          <w:sz w:val="28"/>
          <w:szCs w:val="28"/>
        </w:rPr>
        <w:t>交付与验收标准</w:t>
      </w:r>
    </w:p>
    <w:p w14:paraId="281EED22">
      <w:pPr>
        <w:spacing w:after="12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功能验收：</w:t>
      </w:r>
      <w:r>
        <w:rPr>
          <w:rFonts w:hint="eastAsia" w:ascii="微软雅黑" w:hAnsi="微软雅黑" w:eastAsia="微软雅黑" w:cs="微软雅黑"/>
          <w:b w:val="0"/>
          <w:i w:val="0"/>
          <w:color w:val="auto"/>
          <w:sz w:val="28"/>
          <w:szCs w:val="28"/>
        </w:rPr>
        <w:t>核心闭环可用——知识库可检索、智能问答可对话、方案可生成、人工可接管，功能测试全部通过。</w:t>
      </w:r>
    </w:p>
    <w:p w14:paraId="21D1031E">
      <w:pPr>
        <w:spacing w:after="12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效果验收（AI Eval）：</w:t>
      </w:r>
      <w:r>
        <w:rPr>
          <w:rFonts w:hint="eastAsia" w:ascii="微软雅黑" w:hAnsi="微软雅黑" w:eastAsia="微软雅黑" w:cs="微软雅黑"/>
          <w:b w:val="0"/>
          <w:i w:val="0"/>
          <w:color w:val="auto"/>
          <w:sz w:val="28"/>
          <w:szCs w:val="28"/>
        </w:rPr>
        <w:t>关键指标达标——意图识别准确率、方案匹配准确率、任务完成率达约定阈值；幻觉率、敏感信息泄露率控制在安全线内。</w:t>
      </w:r>
    </w:p>
    <w:p w14:paraId="6EE85D4C">
      <w:pPr>
        <w:spacing w:before="320" w:after="16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lang w:val="en-US" w:eastAsia="zh-CN"/>
        </w:rPr>
        <w:t>五、费用及报价</w:t>
      </w:r>
    </w:p>
    <w:p w14:paraId="5F60B48A">
      <w:pPr>
        <w:spacing w:after="12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一次性</w:t>
      </w:r>
      <w:r>
        <w:rPr>
          <w:rFonts w:hint="eastAsia" w:ascii="微软雅黑" w:hAnsi="微软雅黑" w:eastAsia="微软雅黑" w:cs="微软雅黑"/>
          <w:b/>
          <w:i w:val="0"/>
          <w:color w:val="auto"/>
          <w:sz w:val="28"/>
          <w:szCs w:val="28"/>
          <w:lang w:val="en-US" w:eastAsia="zh-CN"/>
        </w:rPr>
        <w:t>研发</w:t>
      </w:r>
      <w:r>
        <w:rPr>
          <w:rFonts w:hint="eastAsia" w:ascii="微软雅黑" w:hAnsi="微软雅黑" w:eastAsia="微软雅黑" w:cs="微软雅黑"/>
          <w:b/>
          <w:i w:val="0"/>
          <w:color w:val="auto"/>
          <w:sz w:val="28"/>
          <w:szCs w:val="28"/>
        </w:rPr>
        <w:t>实施</w:t>
      </w:r>
      <w:r>
        <w:rPr>
          <w:rFonts w:hint="eastAsia" w:ascii="微软雅黑" w:hAnsi="微软雅黑" w:eastAsia="微软雅黑" w:cs="微软雅黑"/>
          <w:b/>
          <w:i w:val="0"/>
          <w:color w:val="auto"/>
          <w:sz w:val="28"/>
          <w:szCs w:val="28"/>
        </w:rPr>
        <w:t>：</w:t>
      </w:r>
      <w:r>
        <w:rPr>
          <w:rFonts w:hint="eastAsia" w:ascii="微软雅黑" w:hAnsi="微软雅黑" w:eastAsia="微软雅黑" w:cs="微软雅黑"/>
          <w:b w:val="0"/>
          <w:i w:val="0"/>
          <w:color w:val="auto"/>
          <w:sz w:val="28"/>
          <w:szCs w:val="28"/>
        </w:rPr>
        <w:t>覆盖需求诊断、知识库构建、引擎开发、方案生成、测试与项目管理（见报价文件）。</w:t>
      </w:r>
    </w:p>
    <w:p w14:paraId="68DAFA7E">
      <w:pPr>
        <w:spacing w:after="12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lang w:val="en-US" w:eastAsia="zh-CN"/>
        </w:rPr>
        <w:t>售后运维</w:t>
      </w:r>
      <w:r>
        <w:rPr>
          <w:rFonts w:hint="eastAsia" w:ascii="微软雅黑" w:hAnsi="微软雅黑" w:eastAsia="微软雅黑" w:cs="微软雅黑"/>
          <w:b/>
          <w:i w:val="0"/>
          <w:color w:val="auto"/>
          <w:sz w:val="28"/>
          <w:szCs w:val="28"/>
        </w:rPr>
        <w:t>：</w:t>
      </w:r>
      <w:r>
        <w:rPr>
          <w:rFonts w:hint="eastAsia" w:ascii="微软雅黑" w:hAnsi="微软雅黑" w:eastAsia="微软雅黑" w:cs="微软雅黑"/>
          <w:b w:val="0"/>
          <w:i w:val="0"/>
          <w:color w:val="auto"/>
          <w:sz w:val="28"/>
          <w:szCs w:val="28"/>
        </w:rPr>
        <w:t>覆盖模型调用、运维监控、知识库更新与效果迭代（见报价文件）。</w:t>
      </w:r>
    </w:p>
    <w:p w14:paraId="53AD81D3">
      <w:pPr>
        <w:spacing w:after="120"/>
        <w:rPr>
          <w:rFonts w:hint="eastAsia" w:ascii="微软雅黑" w:hAnsi="微软雅黑" w:eastAsia="微软雅黑" w:cs="微软雅黑"/>
          <w:b w:val="0"/>
          <w:i w:val="0"/>
          <w:color w:val="auto"/>
          <w:sz w:val="28"/>
          <w:szCs w:val="28"/>
        </w:rPr>
      </w:pPr>
      <w:r>
        <w:rPr>
          <w:rFonts w:hint="eastAsia" w:ascii="微软雅黑" w:hAnsi="微软雅黑" w:eastAsia="微软雅黑" w:cs="微软雅黑"/>
          <w:b/>
          <w:i w:val="0"/>
          <w:color w:val="auto"/>
          <w:sz w:val="28"/>
          <w:szCs w:val="28"/>
        </w:rPr>
        <w:t>价值回报：</w:t>
      </w:r>
      <w:r>
        <w:rPr>
          <w:rFonts w:hint="eastAsia" w:ascii="微软雅黑" w:hAnsi="微软雅黑" w:eastAsia="微软雅黑" w:cs="微软雅黑"/>
          <w:b w:val="0"/>
          <w:i w:val="0"/>
          <w:color w:val="auto"/>
          <w:sz w:val="28"/>
          <w:szCs w:val="28"/>
        </w:rPr>
        <w:t>释放接待人力、提升询盘响应与转化，沉淀可复用的销售知识资产。</w:t>
      </w:r>
    </w:p>
    <w:p w14:paraId="69BDCAC2">
      <w:pPr>
        <w:spacing w:before="320" w:after="160"/>
        <w:rPr>
          <w:rFonts w:hint="eastAsia" w:ascii="微软雅黑" w:hAnsi="微软雅黑" w:eastAsia="微软雅黑" w:cs="微软雅黑"/>
          <w:b/>
          <w:i w:val="0"/>
          <w:color w:val="auto"/>
          <w:sz w:val="28"/>
          <w:szCs w:val="28"/>
        </w:rPr>
      </w:pPr>
    </w:p>
    <w:p w14:paraId="3E87F6CD">
      <w:pPr>
        <w:spacing w:before="320" w:after="160"/>
        <w:rPr>
          <w:rFonts w:hint="eastAsia" w:ascii="微软雅黑" w:hAnsi="微软雅黑" w:eastAsia="微软雅黑" w:cs="微软雅黑"/>
          <w:b/>
          <w:i w:val="0"/>
          <w:color w:val="auto"/>
          <w:sz w:val="28"/>
          <w:szCs w:val="28"/>
        </w:rPr>
      </w:pPr>
    </w:p>
    <w:p w14:paraId="2C1715EF">
      <w:pPr>
        <w:spacing w:before="320" w:after="160"/>
        <w:rPr>
          <w:rFonts w:hint="eastAsia" w:ascii="微软雅黑" w:hAnsi="微软雅黑" w:eastAsia="微软雅黑" w:cs="微软雅黑"/>
          <w:b/>
          <w:i w:val="0"/>
          <w:color w:val="auto"/>
          <w:sz w:val="28"/>
          <w:szCs w:val="28"/>
        </w:rPr>
      </w:pPr>
    </w:p>
    <w:p w14:paraId="7DF2750F">
      <w:pPr>
        <w:spacing w:before="320" w:after="160"/>
        <w:rPr>
          <w:rFonts w:hint="eastAsia" w:ascii="微软雅黑" w:hAnsi="微软雅黑" w:eastAsia="微软雅黑" w:cs="微软雅黑"/>
          <w:b/>
          <w:i w:val="0"/>
          <w:color w:val="auto"/>
          <w:sz w:val="28"/>
          <w:szCs w:val="28"/>
        </w:rPr>
      </w:pPr>
    </w:p>
    <w:p w14:paraId="0B682A25">
      <w:pPr>
        <w:spacing w:before="320" w:after="160"/>
        <w:rPr>
          <w:rFonts w:hint="eastAsia" w:ascii="微软雅黑" w:hAnsi="微软雅黑" w:eastAsia="微软雅黑" w:cs="微软雅黑"/>
          <w:b/>
          <w:i w:val="0"/>
          <w:color w:val="auto"/>
          <w:sz w:val="28"/>
          <w:szCs w:val="28"/>
        </w:rPr>
      </w:pPr>
    </w:p>
    <w:p w14:paraId="50E0741F">
      <w:pPr>
        <w:spacing w:before="320" w:after="160"/>
        <w:rPr>
          <w:rFonts w:hint="eastAsia" w:ascii="微软雅黑" w:hAnsi="微软雅黑" w:eastAsia="微软雅黑" w:cs="微软雅黑"/>
          <w:b/>
          <w:i w:val="0"/>
          <w:color w:val="auto"/>
          <w:sz w:val="28"/>
          <w:szCs w:val="28"/>
        </w:rPr>
      </w:pPr>
    </w:p>
    <w:p w14:paraId="052820A1">
      <w:pPr>
        <w:spacing w:before="320" w:after="160"/>
        <w:jc w:val="left"/>
        <w:rPr>
          <w:rFonts w:hint="eastAsia" w:ascii="微软雅黑" w:hAnsi="微软雅黑" w:eastAsia="微软雅黑" w:cs="微软雅黑"/>
          <w:color w:val="auto"/>
          <w:sz w:val="28"/>
          <w:szCs w:val="28"/>
        </w:rPr>
      </w:pPr>
      <w:r>
        <w:rPr>
          <w:rFonts w:hint="eastAsia" w:cs="微软雅黑"/>
          <w:b/>
          <w:i w:val="0"/>
          <w:color w:val="auto"/>
          <w:sz w:val="28"/>
          <w:szCs w:val="28"/>
          <w:lang w:val="en-US" w:eastAsia="zh-CN"/>
        </w:rPr>
        <w:t>附件-</w:t>
      </w:r>
      <w:r>
        <w:rPr>
          <w:rFonts w:hint="eastAsia" w:ascii="微软雅黑" w:hAnsi="微软雅黑" w:eastAsia="微软雅黑" w:cs="微软雅黑"/>
          <w:b/>
          <w:i w:val="0"/>
          <w:color w:val="auto"/>
          <w:sz w:val="28"/>
          <w:szCs w:val="28"/>
        </w:rPr>
        <w:t>报价总览</w:t>
      </w:r>
    </w:p>
    <w:p w14:paraId="31225AED">
      <w:pPr>
        <w:spacing w:after="120"/>
        <w:rPr>
          <w:rFonts w:hint="eastAsia" w:ascii="微软雅黑" w:hAnsi="微软雅黑" w:eastAsia="微软雅黑" w:cs="微软雅黑"/>
          <w:b/>
          <w:bCs/>
          <w:i w:val="0"/>
          <w:color w:val="auto"/>
          <w:sz w:val="28"/>
          <w:szCs w:val="28"/>
        </w:rPr>
      </w:pPr>
    </w:p>
    <w:p w14:paraId="5528B3F5">
      <w:pPr>
        <w:spacing w:after="120"/>
        <w:rPr>
          <w:rFonts w:hint="eastAsia" w:ascii="微软雅黑" w:hAnsi="微软雅黑" w:eastAsia="微软雅黑" w:cs="微软雅黑"/>
          <w:b/>
          <w:bCs/>
          <w:color w:val="auto"/>
          <w:sz w:val="28"/>
          <w:szCs w:val="28"/>
        </w:rPr>
      </w:pPr>
      <w:r>
        <w:rPr>
          <w:rFonts w:hint="eastAsia" w:ascii="微软雅黑" w:hAnsi="微软雅黑" w:eastAsia="微软雅黑" w:cs="微软雅黑"/>
          <w:b/>
          <w:bCs/>
          <w:i w:val="0"/>
          <w:color w:val="auto"/>
          <w:sz w:val="28"/>
          <w:szCs w:val="28"/>
        </w:rPr>
        <w:t xml:space="preserve">总投入 = </w:t>
      </w:r>
      <w:r>
        <w:rPr>
          <w:rFonts w:hint="eastAsia" w:ascii="微软雅黑" w:hAnsi="微软雅黑" w:eastAsia="微软雅黑" w:cs="微软雅黑"/>
          <w:b/>
          <w:bCs/>
          <w:i w:val="0"/>
          <w:color w:val="auto"/>
          <w:sz w:val="28"/>
          <w:szCs w:val="28"/>
          <w:lang w:val="en-US" w:eastAsia="zh-CN"/>
        </w:rPr>
        <w:t>研发</w:t>
      </w:r>
      <w:r>
        <w:rPr>
          <w:rFonts w:hint="eastAsia" w:ascii="微软雅黑" w:hAnsi="微软雅黑" w:eastAsia="微软雅黑" w:cs="微软雅黑"/>
          <w:b/>
          <w:bCs/>
          <w:i w:val="0"/>
          <w:color w:val="auto"/>
          <w:sz w:val="28"/>
          <w:szCs w:val="28"/>
        </w:rPr>
        <w:t xml:space="preserve">实施费 + </w:t>
      </w:r>
      <w:r>
        <w:rPr>
          <w:rFonts w:hint="eastAsia" w:ascii="微软雅黑" w:hAnsi="微软雅黑" w:eastAsia="微软雅黑" w:cs="微软雅黑"/>
          <w:b/>
          <w:i w:val="0"/>
          <w:color w:val="auto"/>
          <w:sz w:val="28"/>
          <w:szCs w:val="28"/>
        </w:rPr>
        <w:t>年度订阅费</w:t>
      </w:r>
      <w:r>
        <w:rPr>
          <w:rFonts w:hint="eastAsia" w:ascii="微软雅黑" w:hAnsi="微软雅黑" w:eastAsia="微软雅黑" w:cs="微软雅黑"/>
          <w:b/>
          <w:bCs/>
          <w:i w:val="0"/>
          <w:color w:val="auto"/>
          <w:sz w:val="28"/>
          <w:szCs w:val="28"/>
          <w:lang w:val="en-US" w:eastAsia="zh-CN"/>
        </w:rPr>
        <w:t>（一年）</w:t>
      </w:r>
      <w:r>
        <w:rPr>
          <w:rFonts w:hint="eastAsia" w:ascii="微软雅黑" w:hAnsi="微软雅黑" w:eastAsia="微软雅黑" w:cs="微软雅黑"/>
          <w:b/>
          <w:bCs/>
          <w:i w:val="0"/>
          <w:color w:val="auto"/>
          <w:sz w:val="28"/>
          <w:szCs w:val="28"/>
        </w:rPr>
        <w:t>。</w:t>
      </w:r>
    </w:p>
    <w:p w14:paraId="1CFB347D">
      <w:pPr>
        <w:spacing w:after="120"/>
        <w:rPr>
          <w:rFonts w:hint="eastAsia" w:ascii="微软雅黑" w:hAnsi="微软雅黑" w:eastAsia="微软雅黑" w:cs="微软雅黑"/>
          <w:b w:val="0"/>
          <w:bCs/>
          <w:color w:val="auto"/>
          <w:sz w:val="28"/>
          <w:szCs w:val="28"/>
        </w:rPr>
      </w:pPr>
      <w:r>
        <w:rPr>
          <w:rFonts w:hint="eastAsia" w:ascii="微软雅黑" w:hAnsi="微软雅黑" w:eastAsia="微软雅黑" w:cs="微软雅黑"/>
          <w:b/>
          <w:bCs w:val="0"/>
          <w:i w:val="0"/>
          <w:color w:val="auto"/>
          <w:sz w:val="28"/>
          <w:szCs w:val="28"/>
        </w:rPr>
        <w:t>一次性</w:t>
      </w:r>
      <w:r>
        <w:rPr>
          <w:rFonts w:hint="eastAsia" w:ascii="微软雅黑" w:hAnsi="微软雅黑" w:eastAsia="微软雅黑" w:cs="微软雅黑"/>
          <w:b/>
          <w:bCs w:val="0"/>
          <w:i w:val="0"/>
          <w:color w:val="auto"/>
          <w:sz w:val="28"/>
          <w:szCs w:val="28"/>
          <w:lang w:val="en-US" w:eastAsia="zh-CN"/>
        </w:rPr>
        <w:t>研发</w:t>
      </w:r>
      <w:r>
        <w:rPr>
          <w:rFonts w:hint="eastAsia" w:ascii="微软雅黑" w:hAnsi="微软雅黑" w:eastAsia="微软雅黑" w:cs="微软雅黑"/>
          <w:b/>
          <w:bCs w:val="0"/>
          <w:i w:val="0"/>
          <w:color w:val="auto"/>
          <w:sz w:val="28"/>
          <w:szCs w:val="28"/>
        </w:rPr>
        <w:t>实施：</w:t>
      </w:r>
      <w:r>
        <w:rPr>
          <w:rFonts w:hint="eastAsia" w:ascii="微软雅黑" w:hAnsi="微软雅黑" w:eastAsia="微软雅黑" w:cs="微软雅黑"/>
          <w:b w:val="0"/>
          <w:bCs/>
          <w:i w:val="0"/>
          <w:color w:val="auto"/>
          <w:sz w:val="28"/>
          <w:szCs w:val="28"/>
        </w:rPr>
        <w:t>¥（</w:t>
      </w:r>
      <w:r>
        <w:rPr>
          <w:rFonts w:hint="eastAsia" w:ascii="微软雅黑" w:hAnsi="微软雅黑" w:eastAsia="微软雅黑" w:cs="微软雅黑"/>
          <w:b w:val="0"/>
          <w:bCs/>
          <w:i w:val="0"/>
          <w:color w:val="auto"/>
          <w:sz w:val="28"/>
          <w:szCs w:val="28"/>
          <w:lang w:val="en-US" w:eastAsia="zh-CN"/>
        </w:rPr>
        <w:t>含售前demo</w:t>
      </w:r>
      <w:r>
        <w:rPr>
          <w:rFonts w:hint="eastAsia" w:ascii="微软雅黑" w:hAnsi="微软雅黑" w:eastAsia="微软雅黑" w:cs="微软雅黑"/>
          <w:b w:val="0"/>
          <w:bCs/>
          <w:i w:val="0"/>
          <w:color w:val="auto"/>
          <w:sz w:val="28"/>
          <w:szCs w:val="28"/>
        </w:rPr>
        <w:t>建设，税前）</w:t>
      </w:r>
    </w:p>
    <w:p w14:paraId="2514C300">
      <w:pPr>
        <w:spacing w:after="120"/>
        <w:rPr>
          <w:rFonts w:hint="eastAsia" w:ascii="微软雅黑" w:hAnsi="微软雅黑" w:eastAsia="微软雅黑" w:cs="微软雅黑"/>
          <w:b w:val="0"/>
          <w:bCs/>
          <w:color w:val="auto"/>
          <w:sz w:val="28"/>
          <w:szCs w:val="28"/>
        </w:rPr>
      </w:pPr>
      <w:r>
        <w:rPr>
          <w:rFonts w:hint="eastAsia" w:ascii="微软雅黑" w:hAnsi="微软雅黑" w:eastAsia="微软雅黑" w:cs="微软雅黑"/>
          <w:b/>
          <w:bCs w:val="0"/>
          <w:i w:val="0"/>
          <w:color w:val="auto"/>
          <w:sz w:val="28"/>
          <w:szCs w:val="28"/>
        </w:rPr>
        <w:t>年度订阅费：</w:t>
      </w:r>
      <w:r>
        <w:rPr>
          <w:rFonts w:hint="eastAsia" w:ascii="微软雅黑" w:hAnsi="微软雅黑" w:eastAsia="微软雅黑" w:cs="微软雅黑"/>
          <w:b w:val="0"/>
          <w:bCs/>
          <w:i w:val="0"/>
          <w:color w:val="auto"/>
          <w:sz w:val="28"/>
          <w:szCs w:val="28"/>
        </w:rPr>
        <w:t>¥ / 年（含模型、运维、迭代）</w:t>
      </w:r>
    </w:p>
    <w:p w14:paraId="4B483DA2">
      <w:pPr>
        <w:spacing w:after="120"/>
        <w:rPr>
          <w:rFonts w:hint="eastAsia" w:ascii="微软雅黑" w:hAnsi="微软雅黑" w:eastAsia="微软雅黑" w:cs="微软雅黑"/>
          <w:b w:val="0"/>
          <w:bCs/>
          <w:color w:val="auto"/>
          <w:sz w:val="28"/>
          <w:szCs w:val="28"/>
        </w:rPr>
      </w:pPr>
      <w:r>
        <w:rPr>
          <w:rFonts w:hint="eastAsia" w:ascii="微软雅黑" w:hAnsi="微软雅黑" w:eastAsia="微软雅黑" w:cs="微软雅黑"/>
          <w:b/>
          <w:bCs w:val="0"/>
          <w:i w:val="0"/>
          <w:color w:val="auto"/>
          <w:sz w:val="28"/>
          <w:szCs w:val="28"/>
        </w:rPr>
        <w:t>首年总投入：</w:t>
      </w:r>
      <w:r>
        <w:rPr>
          <w:rFonts w:hint="eastAsia" w:ascii="微软雅黑" w:hAnsi="微软雅黑" w:eastAsia="微软雅黑" w:cs="微软雅黑"/>
          <w:b w:val="0"/>
          <w:bCs/>
          <w:i w:val="0"/>
          <w:color w:val="auto"/>
          <w:sz w:val="28"/>
          <w:szCs w:val="28"/>
        </w:rPr>
        <w:t>¥（一次性 + 首年订阅）</w:t>
      </w:r>
    </w:p>
    <w:p w14:paraId="3321ACA9">
      <w:pPr>
        <w:spacing w:after="12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说明：</w:t>
      </w:r>
      <w:r>
        <w:rPr>
          <w:rFonts w:hint="eastAsia" w:ascii="微软雅黑" w:hAnsi="微软雅黑" w:eastAsia="微软雅黑" w:cs="微软雅黑"/>
          <w:b w:val="0"/>
          <w:i w:val="0"/>
          <w:color w:val="auto"/>
          <w:sz w:val="28"/>
          <w:szCs w:val="28"/>
        </w:rPr>
        <w:t>以上为建议报价，可根据最终 SOW 范围、知识库规模、模型选型与接入渠道数量上下调整；最终以双方签署的 SOW 与合同为准。</w:t>
      </w:r>
    </w:p>
    <w:p w14:paraId="6557FE50">
      <w:pPr>
        <w:spacing w:before="320" w:after="160"/>
        <w:rPr>
          <w:rFonts w:hint="eastAsia" w:ascii="微软雅黑" w:hAnsi="微软雅黑" w:eastAsia="微软雅黑" w:cs="微软雅黑"/>
          <w:color w:val="auto"/>
          <w:sz w:val="28"/>
          <w:szCs w:val="28"/>
        </w:rPr>
      </w:pPr>
      <w:r>
        <w:rPr>
          <w:rFonts w:hint="eastAsia" w:cs="微软雅黑"/>
          <w:b/>
          <w:i w:val="0"/>
          <w:color w:val="auto"/>
          <w:sz w:val="28"/>
          <w:szCs w:val="28"/>
          <w:lang w:val="en-US" w:eastAsia="zh-CN"/>
        </w:rPr>
        <w:t>1、</w:t>
      </w:r>
      <w:r>
        <w:rPr>
          <w:rFonts w:hint="eastAsia" w:ascii="微软雅黑" w:hAnsi="微软雅黑" w:eastAsia="微软雅黑" w:cs="微软雅黑"/>
          <w:b/>
          <w:i w:val="0"/>
          <w:color w:val="auto"/>
          <w:sz w:val="28"/>
          <w:szCs w:val="28"/>
          <w:lang w:val="en-US" w:eastAsia="zh-CN"/>
        </w:rPr>
        <w:t>分项报价</w:t>
      </w:r>
      <w:r>
        <w:rPr>
          <w:rFonts w:hint="eastAsia" w:ascii="微软雅黑" w:hAnsi="微软雅黑" w:eastAsia="微软雅黑" w:cs="微软雅黑"/>
          <w:b/>
          <w:i w:val="0"/>
          <w:color w:val="auto"/>
          <w:sz w:val="28"/>
          <w:szCs w:val="28"/>
        </w:rPr>
        <w:t>明细</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5"/>
        <w:gridCol w:w="4797"/>
        <w:gridCol w:w="1644"/>
      </w:tblGrid>
      <w:tr w14:paraId="7D61C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shd w:val="clear" w:color="auto" w:fill="1F3B66"/>
          </w:tcPr>
          <w:p w14:paraId="3B082C34">
            <w:pPr>
              <w:spacing w:after="0" w:line="240" w:lineRule="auto"/>
              <w:rPr>
                <w:rFonts w:hint="eastAsia" w:ascii="微软雅黑" w:hAnsi="微软雅黑" w:eastAsia="微软雅黑" w:cs="微软雅黑"/>
                <w:color w:val="auto"/>
                <w:sz w:val="24"/>
                <w:szCs w:val="24"/>
              </w:rPr>
            </w:pPr>
            <w:r>
              <w:rPr>
                <w:rFonts w:hint="eastAsia" w:ascii="微软雅黑" w:hAnsi="微软雅黑" w:eastAsia="微软雅黑" w:cs="微软雅黑"/>
                <w:b/>
                <w:i w:val="0"/>
                <w:color w:val="auto"/>
                <w:sz w:val="24"/>
                <w:szCs w:val="24"/>
              </w:rPr>
              <w:t>项目</w:t>
            </w:r>
          </w:p>
        </w:tc>
        <w:tc>
          <w:tcPr>
            <w:tcW w:w="5102" w:type="dxa"/>
            <w:shd w:val="clear" w:color="auto" w:fill="1F3B66"/>
          </w:tcPr>
          <w:p w14:paraId="1D34A4E2">
            <w:pPr>
              <w:spacing w:after="0" w:line="240" w:lineRule="auto"/>
              <w:rPr>
                <w:rFonts w:hint="eastAsia" w:ascii="微软雅黑" w:hAnsi="微软雅黑" w:eastAsia="微软雅黑" w:cs="微软雅黑"/>
                <w:color w:val="auto"/>
                <w:sz w:val="24"/>
                <w:szCs w:val="24"/>
              </w:rPr>
            </w:pPr>
            <w:r>
              <w:rPr>
                <w:rFonts w:hint="eastAsia" w:ascii="微软雅黑" w:hAnsi="微软雅黑" w:eastAsia="微软雅黑" w:cs="微软雅黑"/>
                <w:b/>
                <w:i w:val="0"/>
                <w:color w:val="auto"/>
                <w:sz w:val="24"/>
                <w:szCs w:val="24"/>
              </w:rPr>
              <w:t>内容说明</w:t>
            </w:r>
          </w:p>
        </w:tc>
        <w:tc>
          <w:tcPr>
            <w:tcW w:w="1701" w:type="dxa"/>
            <w:shd w:val="clear" w:color="auto" w:fill="1F3B66"/>
          </w:tcPr>
          <w:p w14:paraId="067169F2">
            <w:pPr>
              <w:spacing w:after="0" w:line="240" w:lineRule="auto"/>
              <w:rPr>
                <w:rFonts w:hint="eastAsia" w:ascii="微软雅黑" w:hAnsi="微软雅黑" w:eastAsia="微软雅黑" w:cs="微软雅黑"/>
                <w:color w:val="auto"/>
                <w:sz w:val="24"/>
                <w:szCs w:val="24"/>
              </w:rPr>
            </w:pPr>
            <w:r>
              <w:rPr>
                <w:rFonts w:hint="eastAsia" w:ascii="微软雅黑" w:hAnsi="微软雅黑" w:eastAsia="微软雅黑" w:cs="微软雅黑"/>
                <w:b/>
                <w:i w:val="0"/>
                <w:color w:val="auto"/>
                <w:sz w:val="24"/>
                <w:szCs w:val="24"/>
              </w:rPr>
              <w:t>金额（元）</w:t>
            </w:r>
          </w:p>
        </w:tc>
      </w:tr>
      <w:tr w14:paraId="1289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tcPr>
          <w:p w14:paraId="40065A61">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需求诊断与方案设计</w:t>
            </w:r>
          </w:p>
        </w:tc>
        <w:tc>
          <w:tcPr>
            <w:tcW w:w="5102" w:type="dxa"/>
          </w:tcPr>
          <w:p w14:paraId="51B82AF8">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现场调研、接待流程梳理、方案判定逻辑萃取、SOW 确认</w:t>
            </w:r>
          </w:p>
        </w:tc>
        <w:tc>
          <w:tcPr>
            <w:tcW w:w="1701" w:type="dxa"/>
          </w:tcPr>
          <w:p w14:paraId="3BD4DF08">
            <w:pPr>
              <w:spacing w:after="0" w:line="240" w:lineRule="auto"/>
              <w:rPr>
                <w:rFonts w:hint="eastAsia" w:ascii="微软雅黑" w:hAnsi="微软雅黑" w:eastAsia="微软雅黑" w:cs="微软雅黑"/>
                <w:color w:val="auto"/>
                <w:sz w:val="28"/>
                <w:szCs w:val="28"/>
              </w:rPr>
            </w:pPr>
          </w:p>
        </w:tc>
      </w:tr>
      <w:tr w14:paraId="01D4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tcPr>
          <w:p w14:paraId="7007A653">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知识库构建与内容处理</w:t>
            </w:r>
          </w:p>
        </w:tc>
        <w:tc>
          <w:tcPr>
            <w:tcW w:w="5102" w:type="dxa"/>
          </w:tcPr>
          <w:p w14:paraId="08E57811">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产品/技术资料结构化、解决方案知识入库、知识库调优</w:t>
            </w:r>
          </w:p>
        </w:tc>
        <w:tc>
          <w:tcPr>
            <w:tcW w:w="1701" w:type="dxa"/>
          </w:tcPr>
          <w:p w14:paraId="5D4B3E8C">
            <w:pPr>
              <w:spacing w:after="0" w:line="240" w:lineRule="auto"/>
              <w:rPr>
                <w:rFonts w:hint="eastAsia" w:ascii="微软雅黑" w:hAnsi="微软雅黑" w:eastAsia="微软雅黑" w:cs="微软雅黑"/>
                <w:color w:val="auto"/>
                <w:sz w:val="28"/>
                <w:szCs w:val="28"/>
              </w:rPr>
            </w:pPr>
          </w:p>
        </w:tc>
      </w:tr>
      <w:tr w14:paraId="47DC8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tcPr>
          <w:p w14:paraId="5D3909C4">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AI 智能问答引擎开发</w:t>
            </w:r>
          </w:p>
        </w:tc>
        <w:tc>
          <w:tcPr>
            <w:tcW w:w="5102" w:type="dxa"/>
          </w:tcPr>
          <w:p w14:paraId="33D1D476">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意图识别、上下文追问、RAG 检索增强、多渠道接入</w:t>
            </w:r>
          </w:p>
        </w:tc>
        <w:tc>
          <w:tcPr>
            <w:tcW w:w="1701" w:type="dxa"/>
          </w:tcPr>
          <w:p w14:paraId="4881B8CD">
            <w:pPr>
              <w:spacing w:after="0" w:line="240" w:lineRule="auto"/>
              <w:rPr>
                <w:rFonts w:hint="eastAsia" w:ascii="微软雅黑" w:hAnsi="微软雅黑" w:eastAsia="微软雅黑" w:cs="微软雅黑"/>
                <w:color w:val="auto"/>
                <w:sz w:val="28"/>
                <w:szCs w:val="28"/>
              </w:rPr>
            </w:pPr>
          </w:p>
        </w:tc>
      </w:tr>
      <w:tr w14:paraId="38121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tcPr>
          <w:p w14:paraId="211CA27D">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对话流程与方案生成</w:t>
            </w:r>
          </w:p>
        </w:tc>
        <w:tc>
          <w:tcPr>
            <w:tcW w:w="5102" w:type="dxa"/>
          </w:tcPr>
          <w:p w14:paraId="2FEE6F47">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方案判定逻辑、产品组合匹配、方案文本自动生成</w:t>
            </w:r>
          </w:p>
        </w:tc>
        <w:tc>
          <w:tcPr>
            <w:tcW w:w="1701" w:type="dxa"/>
          </w:tcPr>
          <w:p w14:paraId="61165BF6">
            <w:pPr>
              <w:spacing w:after="0" w:line="240" w:lineRule="auto"/>
              <w:rPr>
                <w:rFonts w:hint="eastAsia" w:ascii="微软雅黑" w:hAnsi="微软雅黑" w:eastAsia="微软雅黑" w:cs="微软雅黑"/>
                <w:color w:val="auto"/>
                <w:sz w:val="28"/>
                <w:szCs w:val="28"/>
              </w:rPr>
            </w:pPr>
          </w:p>
        </w:tc>
      </w:tr>
      <w:tr w14:paraId="0159F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tcPr>
          <w:p w14:paraId="6116BDD7">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测试与 AI Eval</w:t>
            </w:r>
          </w:p>
        </w:tc>
        <w:tc>
          <w:tcPr>
            <w:tcW w:w="5102" w:type="dxa"/>
          </w:tcPr>
          <w:p w14:paraId="3A6EE33A">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功能测试、AI 效果评测（准确率/幻觉率等）、UAT 组织</w:t>
            </w:r>
          </w:p>
        </w:tc>
        <w:tc>
          <w:tcPr>
            <w:tcW w:w="1701" w:type="dxa"/>
          </w:tcPr>
          <w:p w14:paraId="56A35736">
            <w:pPr>
              <w:spacing w:after="0" w:line="240" w:lineRule="auto"/>
              <w:rPr>
                <w:rFonts w:hint="eastAsia" w:ascii="微软雅黑" w:hAnsi="微软雅黑" w:eastAsia="微软雅黑" w:cs="微软雅黑"/>
                <w:color w:val="auto"/>
                <w:sz w:val="28"/>
                <w:szCs w:val="28"/>
              </w:rPr>
            </w:pPr>
          </w:p>
        </w:tc>
      </w:tr>
      <w:tr w14:paraId="37CFE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tcPr>
          <w:p w14:paraId="6D561728">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项目管理</w:t>
            </w:r>
          </w:p>
        </w:tc>
        <w:tc>
          <w:tcPr>
            <w:tcW w:w="5102" w:type="dxa"/>
          </w:tcPr>
          <w:p w14:paraId="6756DF2C">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计划、进度、风险、验收管理</w:t>
            </w:r>
          </w:p>
        </w:tc>
        <w:tc>
          <w:tcPr>
            <w:tcW w:w="1701" w:type="dxa"/>
          </w:tcPr>
          <w:p w14:paraId="5E4B9040">
            <w:pPr>
              <w:spacing w:after="0" w:line="240" w:lineRule="auto"/>
              <w:rPr>
                <w:rFonts w:hint="eastAsia" w:ascii="微软雅黑" w:hAnsi="微软雅黑" w:eastAsia="微软雅黑" w:cs="微软雅黑"/>
                <w:color w:val="auto"/>
                <w:sz w:val="28"/>
                <w:szCs w:val="28"/>
              </w:rPr>
            </w:pPr>
          </w:p>
        </w:tc>
      </w:tr>
      <w:tr w14:paraId="20D2B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51" w:type="dxa"/>
          </w:tcPr>
          <w:p w14:paraId="0DAB6475">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一次性实施费合计</w:t>
            </w:r>
          </w:p>
        </w:tc>
        <w:tc>
          <w:tcPr>
            <w:tcW w:w="5102" w:type="dxa"/>
          </w:tcPr>
          <w:p w14:paraId="488F2BE5">
            <w:pPr>
              <w:spacing w:after="0" w:line="240" w:lineRule="auto"/>
              <w:rPr>
                <w:rFonts w:hint="eastAsia" w:ascii="微软雅黑" w:hAnsi="微软雅黑" w:eastAsia="微软雅黑" w:cs="微软雅黑"/>
                <w:color w:val="auto"/>
                <w:sz w:val="28"/>
                <w:szCs w:val="28"/>
              </w:rPr>
            </w:pPr>
          </w:p>
        </w:tc>
        <w:tc>
          <w:tcPr>
            <w:tcW w:w="1701" w:type="dxa"/>
          </w:tcPr>
          <w:p w14:paraId="7F912F0A">
            <w:pPr>
              <w:spacing w:after="0" w:line="240" w:lineRule="auto"/>
              <w:rPr>
                <w:rFonts w:hint="eastAsia" w:ascii="微软雅黑" w:hAnsi="微软雅黑" w:eastAsia="微软雅黑" w:cs="微软雅黑"/>
                <w:color w:val="auto"/>
                <w:sz w:val="28"/>
                <w:szCs w:val="28"/>
              </w:rPr>
            </w:pPr>
          </w:p>
        </w:tc>
      </w:tr>
    </w:tbl>
    <w:p w14:paraId="5346600A">
      <w:pPr>
        <w:spacing w:before="320" w:after="160"/>
        <w:rPr>
          <w:rFonts w:hint="eastAsia" w:ascii="微软雅黑" w:hAnsi="微软雅黑" w:eastAsia="微软雅黑" w:cs="微软雅黑"/>
          <w:color w:val="auto"/>
          <w:sz w:val="28"/>
          <w:szCs w:val="28"/>
        </w:rPr>
      </w:pPr>
      <w:r>
        <w:rPr>
          <w:rFonts w:hint="eastAsia" w:cs="微软雅黑"/>
          <w:b/>
          <w:i w:val="0"/>
          <w:color w:val="auto"/>
          <w:sz w:val="28"/>
          <w:szCs w:val="28"/>
          <w:lang w:val="en-US" w:eastAsia="zh-CN"/>
        </w:rPr>
        <w:t>2、</w:t>
      </w:r>
      <w:r>
        <w:rPr>
          <w:rFonts w:hint="eastAsia" w:ascii="微软雅黑" w:hAnsi="微软雅黑" w:eastAsia="微软雅黑" w:cs="微软雅黑"/>
          <w:b/>
          <w:i w:val="0"/>
          <w:color w:val="auto"/>
          <w:sz w:val="28"/>
          <w:szCs w:val="28"/>
        </w:rPr>
        <w:t>年度订阅费明细</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1"/>
        <w:gridCol w:w="4507"/>
        <w:gridCol w:w="1908"/>
      </w:tblGrid>
      <w:tr w14:paraId="18E3D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1" w:type="dxa"/>
            <w:shd w:val="clear" w:color="auto" w:fill="1F3B66"/>
          </w:tcPr>
          <w:p w14:paraId="3A85236C">
            <w:pPr>
              <w:spacing w:after="0" w:line="240" w:lineRule="auto"/>
              <w:rPr>
                <w:rFonts w:hint="eastAsia" w:ascii="微软雅黑" w:hAnsi="微软雅黑" w:eastAsia="微软雅黑" w:cs="微软雅黑"/>
                <w:color w:val="auto"/>
                <w:sz w:val="24"/>
                <w:szCs w:val="24"/>
              </w:rPr>
            </w:pPr>
            <w:r>
              <w:rPr>
                <w:rFonts w:hint="eastAsia" w:ascii="微软雅黑" w:hAnsi="微软雅黑" w:eastAsia="微软雅黑" w:cs="微软雅黑"/>
                <w:b/>
                <w:i w:val="0"/>
                <w:color w:val="auto"/>
                <w:sz w:val="24"/>
                <w:szCs w:val="24"/>
              </w:rPr>
              <w:t>项目</w:t>
            </w:r>
          </w:p>
        </w:tc>
        <w:tc>
          <w:tcPr>
            <w:tcW w:w="4507" w:type="dxa"/>
            <w:shd w:val="clear" w:color="auto" w:fill="1F3B66"/>
          </w:tcPr>
          <w:p w14:paraId="4573E4B8">
            <w:pPr>
              <w:spacing w:after="0" w:line="240" w:lineRule="auto"/>
              <w:rPr>
                <w:rFonts w:hint="eastAsia" w:ascii="微软雅黑" w:hAnsi="微软雅黑" w:eastAsia="微软雅黑" w:cs="微软雅黑"/>
                <w:color w:val="auto"/>
                <w:sz w:val="24"/>
                <w:szCs w:val="24"/>
              </w:rPr>
            </w:pPr>
            <w:r>
              <w:rPr>
                <w:rFonts w:hint="eastAsia" w:ascii="微软雅黑" w:hAnsi="微软雅黑" w:eastAsia="微软雅黑" w:cs="微软雅黑"/>
                <w:b/>
                <w:i w:val="0"/>
                <w:color w:val="auto"/>
                <w:sz w:val="24"/>
                <w:szCs w:val="24"/>
              </w:rPr>
              <w:t>内容说明</w:t>
            </w:r>
          </w:p>
        </w:tc>
        <w:tc>
          <w:tcPr>
            <w:tcW w:w="1908" w:type="dxa"/>
            <w:shd w:val="clear" w:color="auto" w:fill="1F3B66"/>
          </w:tcPr>
          <w:p w14:paraId="55A60C94">
            <w:pPr>
              <w:spacing w:after="0" w:line="240" w:lineRule="auto"/>
              <w:rPr>
                <w:rFonts w:hint="eastAsia" w:ascii="微软雅黑" w:hAnsi="微软雅黑" w:eastAsia="微软雅黑" w:cs="微软雅黑"/>
                <w:color w:val="auto"/>
                <w:sz w:val="24"/>
                <w:szCs w:val="24"/>
              </w:rPr>
            </w:pPr>
            <w:r>
              <w:rPr>
                <w:rFonts w:hint="eastAsia" w:ascii="微软雅黑" w:hAnsi="微软雅黑" w:eastAsia="微软雅黑" w:cs="微软雅黑"/>
                <w:b/>
                <w:i w:val="0"/>
                <w:color w:val="auto"/>
                <w:sz w:val="24"/>
                <w:szCs w:val="24"/>
              </w:rPr>
              <w:t>金额（元/年）</w:t>
            </w:r>
          </w:p>
        </w:tc>
      </w:tr>
      <w:tr w14:paraId="5DC5F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1" w:type="dxa"/>
          </w:tcPr>
          <w:p w14:paraId="7CE19872">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模型 / Token 调用</w:t>
            </w:r>
          </w:p>
        </w:tc>
        <w:tc>
          <w:tcPr>
            <w:tcW w:w="4507" w:type="dxa"/>
          </w:tcPr>
          <w:p w14:paraId="7AF71DD3">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大模型调用成本（按实际用量浮动，此处为预估上限）</w:t>
            </w:r>
          </w:p>
        </w:tc>
        <w:tc>
          <w:tcPr>
            <w:tcW w:w="1908" w:type="dxa"/>
          </w:tcPr>
          <w:p w14:paraId="2F0E2764">
            <w:pPr>
              <w:spacing w:after="0" w:line="240" w:lineRule="auto"/>
              <w:rPr>
                <w:rFonts w:hint="eastAsia" w:ascii="微软雅黑" w:hAnsi="微软雅黑" w:eastAsia="微软雅黑" w:cs="微软雅黑"/>
                <w:color w:val="auto"/>
                <w:sz w:val="28"/>
                <w:szCs w:val="28"/>
              </w:rPr>
            </w:pPr>
          </w:p>
        </w:tc>
      </w:tr>
      <w:tr w14:paraId="4CCA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1" w:type="dxa"/>
          </w:tcPr>
          <w:p w14:paraId="30215003">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运维监控与版本管理</w:t>
            </w:r>
          </w:p>
        </w:tc>
        <w:tc>
          <w:tcPr>
            <w:tcW w:w="4507" w:type="dxa"/>
          </w:tcPr>
          <w:p w14:paraId="5B8EAC61">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系统运维、监控告警、版本升级、故障处理</w:t>
            </w:r>
          </w:p>
        </w:tc>
        <w:tc>
          <w:tcPr>
            <w:tcW w:w="1908" w:type="dxa"/>
          </w:tcPr>
          <w:p w14:paraId="54D9E2DE">
            <w:pPr>
              <w:spacing w:after="0" w:line="240" w:lineRule="auto"/>
              <w:rPr>
                <w:rFonts w:hint="eastAsia" w:ascii="微软雅黑" w:hAnsi="微软雅黑" w:eastAsia="微软雅黑" w:cs="微软雅黑"/>
                <w:color w:val="auto"/>
                <w:sz w:val="28"/>
                <w:szCs w:val="28"/>
              </w:rPr>
            </w:pPr>
          </w:p>
        </w:tc>
      </w:tr>
      <w:tr w14:paraId="5094E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1" w:type="dxa"/>
          </w:tcPr>
          <w:p w14:paraId="4538D6A0">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知识库持续更新</w:t>
            </w:r>
          </w:p>
        </w:tc>
        <w:tc>
          <w:tcPr>
            <w:tcW w:w="4507" w:type="dxa"/>
          </w:tcPr>
          <w:p w14:paraId="21515CD0">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新产品/新技术资料入库、知识库定期校准</w:t>
            </w:r>
          </w:p>
        </w:tc>
        <w:tc>
          <w:tcPr>
            <w:tcW w:w="1908" w:type="dxa"/>
          </w:tcPr>
          <w:p w14:paraId="366D15F8">
            <w:pPr>
              <w:spacing w:after="0" w:line="240" w:lineRule="auto"/>
              <w:rPr>
                <w:rFonts w:hint="eastAsia" w:ascii="微软雅黑" w:hAnsi="微软雅黑" w:eastAsia="微软雅黑" w:cs="微软雅黑"/>
                <w:color w:val="auto"/>
                <w:sz w:val="28"/>
                <w:szCs w:val="28"/>
              </w:rPr>
            </w:pPr>
          </w:p>
        </w:tc>
      </w:tr>
      <w:tr w14:paraId="4D2C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1" w:type="dxa"/>
          </w:tcPr>
          <w:p w14:paraId="4DB54629">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效果优化与迭代</w:t>
            </w:r>
          </w:p>
        </w:tc>
        <w:tc>
          <w:tcPr>
            <w:tcW w:w="4507" w:type="dxa"/>
          </w:tcPr>
          <w:p w14:paraId="16E79C5C">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对话效果优化、功能迭代、AI Eval 持续评测</w:t>
            </w:r>
          </w:p>
        </w:tc>
        <w:tc>
          <w:tcPr>
            <w:tcW w:w="1908" w:type="dxa"/>
          </w:tcPr>
          <w:p w14:paraId="68203FCB">
            <w:pPr>
              <w:spacing w:after="0" w:line="240" w:lineRule="auto"/>
              <w:rPr>
                <w:rFonts w:hint="eastAsia" w:ascii="微软雅黑" w:hAnsi="微软雅黑" w:eastAsia="微软雅黑" w:cs="微软雅黑"/>
                <w:color w:val="auto"/>
                <w:sz w:val="28"/>
                <w:szCs w:val="28"/>
              </w:rPr>
            </w:pPr>
          </w:p>
        </w:tc>
      </w:tr>
      <w:tr w14:paraId="3CDE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1" w:type="dxa"/>
          </w:tcPr>
          <w:p w14:paraId="2BD43FC6">
            <w:pPr>
              <w:spacing w:after="0" w:line="240" w:lineRule="auto"/>
              <w:rPr>
                <w:rFonts w:hint="eastAsia" w:ascii="微软雅黑" w:hAnsi="微软雅黑" w:eastAsia="微软雅黑" w:cs="微软雅黑"/>
                <w:color w:val="auto"/>
                <w:sz w:val="28"/>
                <w:szCs w:val="28"/>
              </w:rPr>
            </w:pPr>
            <w:r>
              <w:rPr>
                <w:rFonts w:hint="eastAsia" w:ascii="微软雅黑" w:hAnsi="微软雅黑" w:eastAsia="微软雅黑" w:cs="微软雅黑"/>
                <w:b w:val="0"/>
                <w:i w:val="0"/>
                <w:color w:val="auto"/>
                <w:sz w:val="28"/>
                <w:szCs w:val="28"/>
              </w:rPr>
              <w:t>年度订阅费合计</w:t>
            </w:r>
          </w:p>
        </w:tc>
        <w:tc>
          <w:tcPr>
            <w:tcW w:w="4507" w:type="dxa"/>
          </w:tcPr>
          <w:p w14:paraId="2861E339">
            <w:pPr>
              <w:spacing w:after="0" w:line="240" w:lineRule="auto"/>
              <w:rPr>
                <w:rFonts w:hint="eastAsia" w:ascii="微软雅黑" w:hAnsi="微软雅黑" w:eastAsia="微软雅黑" w:cs="微软雅黑"/>
                <w:color w:val="auto"/>
                <w:sz w:val="28"/>
                <w:szCs w:val="28"/>
              </w:rPr>
            </w:pPr>
          </w:p>
        </w:tc>
        <w:tc>
          <w:tcPr>
            <w:tcW w:w="1908" w:type="dxa"/>
          </w:tcPr>
          <w:p w14:paraId="65F61228">
            <w:pPr>
              <w:spacing w:after="0" w:line="240" w:lineRule="auto"/>
              <w:rPr>
                <w:rFonts w:hint="eastAsia" w:ascii="微软雅黑" w:hAnsi="微软雅黑" w:eastAsia="微软雅黑" w:cs="微软雅黑"/>
                <w:color w:val="auto"/>
                <w:sz w:val="28"/>
                <w:szCs w:val="28"/>
              </w:rPr>
            </w:pPr>
          </w:p>
        </w:tc>
      </w:tr>
    </w:tbl>
    <w:p w14:paraId="441F2655">
      <w:pPr>
        <w:spacing w:before="320" w:after="160"/>
        <w:rPr>
          <w:rFonts w:hint="eastAsia" w:ascii="微软雅黑" w:hAnsi="微软雅黑" w:eastAsia="微软雅黑" w:cs="微软雅黑"/>
          <w:color w:val="auto"/>
          <w:sz w:val="28"/>
          <w:szCs w:val="28"/>
        </w:rPr>
      </w:pPr>
      <w:r>
        <w:rPr>
          <w:rFonts w:hint="eastAsia" w:cs="微软雅黑"/>
          <w:b/>
          <w:i w:val="0"/>
          <w:color w:val="auto"/>
          <w:sz w:val="28"/>
          <w:szCs w:val="28"/>
          <w:lang w:val="en-US" w:eastAsia="zh-CN"/>
        </w:rPr>
        <w:t>3、</w:t>
      </w:r>
      <w:r>
        <w:rPr>
          <w:rFonts w:hint="eastAsia" w:ascii="微软雅黑" w:hAnsi="微软雅黑" w:eastAsia="微软雅黑" w:cs="微软雅黑"/>
          <w:b/>
          <w:i w:val="0"/>
          <w:color w:val="auto"/>
          <w:sz w:val="28"/>
          <w:szCs w:val="28"/>
        </w:rPr>
        <w:t>商务条款</w:t>
      </w:r>
    </w:p>
    <w:p w14:paraId="7795CBA8">
      <w:pPr>
        <w:spacing w:after="12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 付款方式（一次性实施费）：</w:t>
      </w:r>
      <w:r>
        <w:rPr>
          <w:rFonts w:hint="eastAsia" w:ascii="微软雅黑" w:hAnsi="微软雅黑" w:eastAsia="微软雅黑" w:cs="微软雅黑"/>
          <w:b w:val="0"/>
          <w:i w:val="0"/>
          <w:color w:val="auto"/>
          <w:sz w:val="28"/>
          <w:szCs w:val="28"/>
        </w:rPr>
        <w:t>签约支付 40%，上线验收支付 40%，质保期（验收后 3 个月）满支付 20%。</w:t>
      </w:r>
    </w:p>
    <w:p w14:paraId="507F5003">
      <w:pPr>
        <w:spacing w:after="12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 付款方式（年度订阅费）：</w:t>
      </w:r>
      <w:r>
        <w:rPr>
          <w:rFonts w:hint="eastAsia" w:ascii="微软雅黑" w:hAnsi="微软雅黑" w:eastAsia="微软雅黑" w:cs="微软雅黑"/>
          <w:b w:val="0"/>
          <w:i w:val="0"/>
          <w:color w:val="auto"/>
          <w:sz w:val="28"/>
          <w:szCs w:val="28"/>
        </w:rPr>
        <w:t>按年或按季预付，续费需提前 30 天确认。</w:t>
      </w:r>
    </w:p>
    <w:p w14:paraId="3B90920E">
      <w:pPr>
        <w:spacing w:after="12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 报价有效期：</w:t>
      </w:r>
      <w:r>
        <w:rPr>
          <w:rFonts w:hint="eastAsia" w:ascii="微软雅黑" w:hAnsi="微软雅黑" w:eastAsia="微软雅黑" w:cs="微软雅黑"/>
          <w:b w:val="0"/>
          <w:i w:val="0"/>
          <w:color w:val="auto"/>
          <w:sz w:val="28"/>
          <w:szCs w:val="28"/>
        </w:rPr>
        <w:t>自出具之日起 30 天。</w:t>
      </w:r>
    </w:p>
    <w:p w14:paraId="3AC50006">
      <w:pPr>
        <w:spacing w:after="12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 范围变更：</w:t>
      </w:r>
      <w:r>
        <w:rPr>
          <w:rFonts w:hint="eastAsia" w:ascii="微软雅黑" w:hAnsi="微软雅黑" w:eastAsia="微软雅黑" w:cs="微软雅黑"/>
          <w:b w:val="0"/>
          <w:i w:val="0"/>
          <w:color w:val="auto"/>
          <w:sz w:val="28"/>
          <w:szCs w:val="28"/>
        </w:rPr>
        <w:t>新增渠道、知识库规模扩大、定制功能等按变更流程另行评估计价。</w:t>
      </w:r>
    </w:p>
    <w:p w14:paraId="127BA7A4">
      <w:pPr>
        <w:spacing w:after="12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 知识产权：</w:t>
      </w:r>
      <w:r>
        <w:rPr>
          <w:rFonts w:hint="eastAsia" w:ascii="微软雅黑" w:hAnsi="微软雅黑" w:eastAsia="微软雅黑" w:cs="微软雅黑"/>
          <w:b w:val="0"/>
          <w:i w:val="0"/>
          <w:color w:val="auto"/>
          <w:sz w:val="28"/>
          <w:szCs w:val="28"/>
        </w:rPr>
        <w:t>交付的定制功能与知识库归客户所有；我方保留底层通用组件与技术框架的复用权。</w:t>
      </w:r>
    </w:p>
    <w:p w14:paraId="0881C0B7">
      <w:pPr>
        <w:spacing w:after="12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 数据安全：</w:t>
      </w:r>
      <w:r>
        <w:rPr>
          <w:rFonts w:hint="eastAsia" w:ascii="微软雅黑" w:hAnsi="微软雅黑" w:eastAsia="微软雅黑" w:cs="微软雅黑"/>
          <w:b w:val="0"/>
          <w:i w:val="0"/>
          <w:color w:val="auto"/>
          <w:sz w:val="28"/>
          <w:szCs w:val="28"/>
        </w:rPr>
        <w:t>客户数据自主可控，不依赖第三方平台存储；敏感信息按约定脱敏与权限隔离。</w:t>
      </w:r>
    </w:p>
    <w:p w14:paraId="001DA7D4">
      <w:pPr>
        <w:spacing w:after="120"/>
        <w:rPr>
          <w:rFonts w:hint="eastAsia" w:ascii="微软雅黑" w:hAnsi="微软雅黑" w:eastAsia="微软雅黑" w:cs="微软雅黑"/>
          <w:color w:val="auto"/>
          <w:sz w:val="28"/>
          <w:szCs w:val="28"/>
        </w:rPr>
      </w:pPr>
      <w:r>
        <w:rPr>
          <w:rFonts w:hint="eastAsia" w:ascii="微软雅黑" w:hAnsi="微软雅黑" w:eastAsia="微软雅黑" w:cs="微软雅黑"/>
          <w:b/>
          <w:i w:val="0"/>
          <w:color w:val="auto"/>
          <w:sz w:val="28"/>
          <w:szCs w:val="28"/>
        </w:rPr>
        <w:t>· 验收标准：</w:t>
      </w:r>
      <w:r>
        <w:rPr>
          <w:rFonts w:hint="eastAsia" w:ascii="微软雅黑" w:hAnsi="微软雅黑" w:eastAsia="微软雅黑" w:cs="微软雅黑"/>
          <w:b w:val="0"/>
          <w:i w:val="0"/>
          <w:color w:val="auto"/>
          <w:sz w:val="28"/>
          <w:szCs w:val="28"/>
        </w:rPr>
        <w:t>以双方确认的功能清单与 AI Eval 指标阈值为验收依据。</w:t>
      </w:r>
    </w:p>
    <w:p w14:paraId="5D403E41">
      <w:pPr>
        <w:spacing w:after="120"/>
        <w:rPr>
          <w:rFonts w:hint="eastAsia" w:ascii="微软雅黑" w:hAnsi="微软雅黑" w:eastAsia="微软雅黑" w:cs="微软雅黑"/>
          <w:b w:val="0"/>
          <w:i w:val="0"/>
          <w:color w:val="auto"/>
          <w:sz w:val="28"/>
          <w:szCs w:val="28"/>
        </w:rPr>
      </w:pP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B8E4D0B"/>
    <w:rsid w:val="0D9A1A35"/>
    <w:rsid w:val="0DDB664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uiPriority="99" w:semiHidden="0" w:name="List Bullet"/>
    <w:lsdException w:qFormat="1" w:uiPriority="99" w:semiHidden="0" w:name="List Number"/>
    <w:lsdException w:uiPriority="99" w:semiHidden="0" w:name="List 2"/>
    <w:lsdException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qFormat="1" w:unhideWhenUsed="0" w:uiPriority="70" w:semiHidden="0" w:name="Dark List"/>
    <w:lsdException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unhideWhenUsed="0" w:uiPriority="63" w:semiHidden="0" w:name="Medium Shading 1 Accent 2"/>
    <w:lsdException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qFormat="1"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qFormat="1" w:unhideWhenUsed="0" w:uiPriority="70" w:semiHidden="0" w:name="Dark List Accent 4"/>
    <w:lsdException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qFormat="1"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qFormat="1" w:unhideWhenUsed="0" w:uiPriority="65" w:semiHidden="0" w:name="Medium List 1 Accent 6"/>
    <w:lsdException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微软雅黑" w:hAnsi="微软雅黑" w:eastAsia="微软雅黑"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2065</Words>
  <Characters>2160</Characters>
  <Lines>0</Lines>
  <Paragraphs>0</Paragraphs>
  <TotalTime>10</TotalTime>
  <ScaleCrop>false</ScaleCrop>
  <LinksUpToDate>false</LinksUpToDate>
  <CharactersWithSpaces>2292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空腹熊猫</cp:lastModifiedBy>
  <dcterms:modified xsi:type="dcterms:W3CDTF">2026-08-21T10:15:46Z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eyJoZGlkIjoiM2ZiN2NlMzg2NGRhN2NmZjE5ODAyNDNhNzE3ZDhlMjQiLCJ1c2VySWQiOiIzOTU5Njg2NzYifQ==</vt:lpwstr>
  </property>
  <property fmtid="{D5CDD505-2E9C-101B-9397-08002B2CF9AE}" pid="3" name="KSOProductBuildVer">
    <vt:lpwstr>2052-12.1.0.28043</vt:lpwstr>
  </property>
  <property fmtid="{D5CDD505-2E9C-101B-9397-08002B2CF9AE}" pid="4" name="ICV">
    <vt:lpwstr>CB264A85E7EF4EABAD9DBCD2F3CFCADF_13</vt:lpwstr>
  </property>
</Properties>
</file>