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C1FC2">
      <w:pPr>
        <w:spacing w:before="0" w:after="400"/>
      </w:pPr>
    </w:p>
    <w:p w14:paraId="62C9BF48">
      <w:pPr>
        <w:spacing w:before="0" w:after="200"/>
        <w:jc w:val="center"/>
        <w:rPr>
          <w:rFonts w:ascii="微软雅黑" w:hAnsi="微软雅黑" w:eastAsia="微软雅黑"/>
          <w:b/>
          <w:i w:val="0"/>
          <w:color w:val="1F3B66"/>
          <w:sz w:val="48"/>
        </w:rPr>
      </w:pPr>
    </w:p>
    <w:p w14:paraId="3141230C">
      <w:pPr>
        <w:spacing w:before="0" w:after="200"/>
        <w:jc w:val="center"/>
      </w:pPr>
      <w:r>
        <w:rPr>
          <w:rFonts w:ascii="微软雅黑" w:hAnsi="微软雅黑" w:eastAsia="微软雅黑"/>
          <w:b/>
          <w:i w:val="0"/>
          <w:color w:val="1F3B66"/>
          <w:sz w:val="48"/>
        </w:rPr>
        <w:t>鲜境</w:t>
      </w:r>
      <w:r>
        <w:rPr>
          <w:rFonts w:hint="eastAsia"/>
          <w:b/>
          <w:i w:val="0"/>
          <w:color w:val="1F3B66"/>
          <w:sz w:val="48"/>
          <w:lang w:val="en-US" w:eastAsia="zh-CN"/>
        </w:rPr>
        <w:t>物联</w:t>
      </w:r>
      <w:r>
        <w:rPr>
          <w:rFonts w:ascii="微软雅黑" w:hAnsi="微软雅黑" w:eastAsia="微软雅黑"/>
          <w:b/>
          <w:i w:val="0"/>
          <w:color w:val="1F3B66"/>
          <w:sz w:val="48"/>
        </w:rPr>
        <w:t xml:space="preserve"> · 框架合作项目建议书</w:t>
      </w:r>
    </w:p>
    <w:p w14:paraId="6303608F">
      <w:pPr>
        <w:spacing w:before="0" w:after="360"/>
        <w:jc w:val="center"/>
        <w:rPr>
          <w:rFonts w:ascii="微软雅黑" w:hAnsi="微软雅黑" w:eastAsia="微软雅黑"/>
          <w:b w:val="0"/>
          <w:i w:val="0"/>
          <w:color w:val="47536A"/>
          <w:sz w:val="26"/>
        </w:rPr>
      </w:pPr>
    </w:p>
    <w:p w14:paraId="7D74AE74">
      <w:pPr>
        <w:spacing w:before="0" w:after="360"/>
        <w:jc w:val="center"/>
        <w:rPr>
          <w:rFonts w:ascii="微软雅黑" w:hAnsi="微软雅黑" w:eastAsia="微软雅黑"/>
          <w:b w:val="0"/>
          <w:i w:val="0"/>
          <w:color w:val="auto"/>
          <w:sz w:val="26"/>
        </w:rPr>
      </w:pPr>
      <w:r>
        <w:rPr>
          <w:rFonts w:ascii="微软雅黑" w:hAnsi="微软雅黑" w:eastAsia="微软雅黑"/>
          <w:b w:val="0"/>
          <w:i w:val="0"/>
          <w:color w:val="auto"/>
          <w:sz w:val="26"/>
        </w:rPr>
        <w:t>以真实业务结果驱动的 AI 工作流部署 —— 从价值发现到价值运营的全栈数智化服务框架</w:t>
      </w:r>
    </w:p>
    <w:p w14:paraId="579DEBA6">
      <w:pPr>
        <w:spacing w:before="0" w:after="360"/>
        <w:jc w:val="center"/>
        <w:rPr>
          <w:rFonts w:ascii="微软雅黑" w:hAnsi="微软雅黑" w:eastAsia="微软雅黑"/>
          <w:b w:val="0"/>
          <w:i w:val="0"/>
          <w:color w:val="47536A"/>
          <w:sz w:val="26"/>
        </w:rPr>
      </w:pPr>
    </w:p>
    <w:p w14:paraId="4B0D8C01">
      <w:pPr>
        <w:spacing w:before="0" w:after="360"/>
        <w:jc w:val="center"/>
        <w:rPr>
          <w:rFonts w:ascii="微软雅黑" w:hAnsi="微软雅黑" w:eastAsia="微软雅黑"/>
          <w:b w:val="0"/>
          <w:i w:val="0"/>
          <w:color w:val="47536A"/>
          <w:sz w:val="26"/>
        </w:rPr>
      </w:pPr>
    </w:p>
    <w:p w14:paraId="78C4371D">
      <w:pPr>
        <w:spacing w:before="0" w:after="360"/>
        <w:jc w:val="center"/>
        <w:rPr>
          <w:rFonts w:ascii="微软雅黑" w:hAnsi="微软雅黑" w:eastAsia="微软雅黑"/>
          <w:b w:val="0"/>
          <w:i w:val="0"/>
          <w:color w:val="47536A"/>
          <w:sz w:val="26"/>
        </w:rPr>
      </w:pPr>
    </w:p>
    <w:p w14:paraId="23E841A7">
      <w:pPr>
        <w:spacing w:before="0" w:after="360"/>
        <w:jc w:val="center"/>
        <w:rPr>
          <w:rFonts w:ascii="微软雅黑" w:hAnsi="微软雅黑" w:eastAsia="微软雅黑"/>
          <w:b w:val="0"/>
          <w:i w:val="0"/>
          <w:color w:val="47536A"/>
          <w:sz w:val="26"/>
        </w:rPr>
      </w:pPr>
    </w:p>
    <w:p w14:paraId="5853E60B">
      <w:pPr>
        <w:spacing w:before="0" w:after="360"/>
        <w:jc w:val="both"/>
        <w:rPr>
          <w:rFonts w:ascii="微软雅黑" w:hAnsi="微软雅黑" w:eastAsia="微软雅黑"/>
          <w:b w:val="0"/>
          <w:i w:val="0"/>
          <w:color w:val="47536A"/>
          <w:sz w:val="26"/>
        </w:rPr>
      </w:pPr>
    </w:p>
    <w:p w14:paraId="5627467A">
      <w:pPr>
        <w:spacing w:before="0" w:after="360"/>
        <w:jc w:val="center"/>
        <w:rPr>
          <w:rFonts w:ascii="微软雅黑" w:hAnsi="微软雅黑" w:eastAsia="微软雅黑"/>
          <w:b w:val="0"/>
          <w:i w:val="0"/>
          <w:color w:val="47536A"/>
          <w:sz w:val="26"/>
        </w:rPr>
      </w:pPr>
    </w:p>
    <w:p w14:paraId="035A44C5">
      <w:pPr>
        <w:spacing w:before="0" w:after="360"/>
        <w:jc w:val="center"/>
        <w:rPr>
          <w:rFonts w:ascii="微软雅黑" w:hAnsi="微软雅黑" w:eastAsia="微软雅黑"/>
          <w:b w:val="0"/>
          <w:i w:val="0"/>
          <w:color w:val="47536A"/>
          <w:sz w:val="26"/>
        </w:rPr>
      </w:pPr>
    </w:p>
    <w:p w14:paraId="0B42A3F9">
      <w:pPr>
        <w:spacing w:before="0" w:after="360"/>
        <w:jc w:val="center"/>
        <w:rPr>
          <w:rFonts w:ascii="微软雅黑" w:hAnsi="微软雅黑" w:eastAsia="微软雅黑"/>
          <w:b w:val="0"/>
          <w:i w:val="0"/>
          <w:color w:val="47536A"/>
          <w:sz w:val="26"/>
        </w:rPr>
      </w:pPr>
    </w:p>
    <w:p w14:paraId="5429015C">
      <w:pPr>
        <w:spacing w:before="0" w:after="40"/>
        <w:jc w:val="center"/>
        <w:rPr>
          <w:rFonts w:hint="eastAsia"/>
          <w:b/>
          <w:bCs/>
          <w:i w:val="0"/>
          <w:color w:val="auto"/>
          <w:sz w:val="22"/>
          <w:lang w:val="en-US" w:eastAsia="zh-CN"/>
        </w:rPr>
      </w:pPr>
      <w:r>
        <w:rPr>
          <w:rFonts w:ascii="微软雅黑" w:hAnsi="微软雅黑" w:eastAsia="微软雅黑"/>
          <w:b/>
          <w:bCs/>
          <w:i w:val="0"/>
          <w:color w:val="auto"/>
          <w:sz w:val="22"/>
        </w:rPr>
        <w:t>版本：V1.0　日期：2026 年 8 月</w:t>
      </w:r>
      <w:r>
        <w:rPr>
          <w:rFonts w:hint="eastAsia"/>
          <w:b/>
          <w:bCs/>
          <w:i w:val="0"/>
          <w:color w:val="auto"/>
          <w:sz w:val="22"/>
          <w:lang w:val="en-US" w:eastAsia="zh-CN"/>
        </w:rPr>
        <w:t>21日</w:t>
      </w:r>
    </w:p>
    <w:p w14:paraId="5F666BDF">
      <w:pPr>
        <w:spacing w:before="0" w:after="40"/>
        <w:jc w:val="both"/>
        <w:rPr>
          <w:rFonts w:hint="default"/>
          <w:b/>
          <w:bCs/>
          <w:i w:val="0"/>
          <w:color w:val="8893A7"/>
          <w:sz w:val="22"/>
          <w:lang w:val="en-US" w:eastAsia="zh-CN"/>
        </w:rPr>
      </w:pPr>
    </w:p>
    <w:p w14:paraId="72BB077D">
      <w:pPr>
        <w:spacing w:before="0" w:after="320"/>
        <w:jc w:val="center"/>
      </w:pPr>
      <w:r>
        <w:rPr>
          <w:rFonts w:ascii="微软雅黑" w:hAnsi="微软雅黑" w:eastAsia="微软雅黑"/>
          <w:b w:val="0"/>
          <w:i w:val="0"/>
          <w:color w:val="8893A7"/>
          <w:sz w:val="22"/>
        </w:rPr>
        <w:t>——————————————————————————————</w:t>
      </w:r>
    </w:p>
    <w:sdt>
      <w:sdtPr>
        <w:rPr>
          <w:rFonts w:ascii="宋体" w:hAnsi="宋体" w:eastAsia="宋体" w:cstheme="minorBidi"/>
          <w:b/>
          <w:bCs/>
          <w:sz w:val="40"/>
          <w:szCs w:val="44"/>
          <w:lang w:val="en-US" w:eastAsia="en-US" w:bidi="ar-SA"/>
        </w:rPr>
        <w:id w:val="147451428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theme="minorBidi"/>
          <w:i w:val="0"/>
          <w:color w:val="1F3B66"/>
          <w:sz w:val="22"/>
          <w:szCs w:val="22"/>
          <w:lang w:val="en-US" w:eastAsia="zh-CN" w:bidi="ar-SA"/>
        </w:rPr>
      </w:sdtEndPr>
      <w:sdtContent>
        <w:p w14:paraId="3E846851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b/>
              <w:bCs/>
              <w:sz w:val="40"/>
              <w:szCs w:val="44"/>
            </w:rPr>
          </w:pPr>
          <w:r>
            <w:rPr>
              <w:rFonts w:ascii="宋体" w:hAnsi="宋体" w:eastAsia="宋体"/>
              <w:b/>
              <w:bCs/>
              <w:sz w:val="40"/>
              <w:szCs w:val="44"/>
            </w:rPr>
            <w:t>目录</w:t>
          </w:r>
        </w:p>
        <w:p w14:paraId="23F9F34B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b/>
              <w:bCs/>
              <w:sz w:val="40"/>
              <w:szCs w:val="44"/>
            </w:rPr>
          </w:pPr>
        </w:p>
        <w:p w14:paraId="400954F2">
          <w:pPr>
            <w:pStyle w:val="26"/>
            <w:tabs>
              <w:tab w:val="right" w:leader="dot" w:pos="8640"/>
            </w:tabs>
            <w:rPr>
              <w:sz w:val="28"/>
              <w:szCs w:val="28"/>
            </w:rPr>
          </w:pPr>
          <w:r>
            <w:rPr>
              <w:rFonts w:hint="eastAsia"/>
              <w:b/>
              <w:i w:val="0"/>
              <w:color w:val="1F3B66"/>
              <w:sz w:val="40"/>
              <w:szCs w:val="28"/>
              <w:lang w:val="en-US" w:eastAsia="zh-CN"/>
            </w:rPr>
            <w:fldChar w:fldCharType="begin"/>
          </w:r>
          <w:r>
            <w:rPr>
              <w:rFonts w:hint="eastAsia"/>
              <w:b/>
              <w:i w:val="0"/>
              <w:color w:val="1F3B66"/>
              <w:sz w:val="40"/>
              <w:szCs w:val="28"/>
              <w:lang w:val="en-US" w:eastAsia="zh-CN"/>
            </w:rPr>
            <w:instrText xml:space="preserve">TOC \o "1-1" \h \u </w:instrText>
          </w:r>
          <w:r>
            <w:rPr>
              <w:rFonts w:hint="eastAsia"/>
              <w:b/>
              <w:i w:val="0"/>
              <w:color w:val="1F3B66"/>
              <w:sz w:val="40"/>
              <w:szCs w:val="28"/>
              <w:lang w:val="en-US" w:eastAsia="zh-CN"/>
            </w:rPr>
            <w:fldChar w:fldCharType="separate"/>
          </w:r>
          <w:r>
            <w:rPr>
              <w:rFonts w:hint="eastAsia"/>
              <w:i w:val="0"/>
              <w:color w:val="1F3B66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/>
              <w:i w:val="0"/>
              <w:sz w:val="28"/>
              <w:szCs w:val="28"/>
              <w:lang w:val="en-US" w:eastAsia="zh-CN"/>
            </w:rPr>
            <w:instrText xml:space="preserve"> HYPERLINK \l _Toc6010 </w:instrText>
          </w:r>
          <w:r>
            <w:rPr>
              <w:rFonts w:hint="eastAsia"/>
              <w:i w:val="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sz w:val="28"/>
              <w:szCs w:val="44"/>
              <w:lang w:val="en-US" w:eastAsia="zh-CN"/>
            </w:rPr>
            <w:t>一、针对先境的FDE服务需求理解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_Toc6010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/>
              <w:i w:val="0"/>
              <w:color w:val="1F3B66"/>
              <w:sz w:val="28"/>
              <w:szCs w:val="28"/>
              <w:lang w:val="en-US" w:eastAsia="zh-CN"/>
            </w:rPr>
            <w:fldChar w:fldCharType="end"/>
          </w:r>
        </w:p>
        <w:p w14:paraId="1B3E24C6">
          <w:pPr>
            <w:pStyle w:val="26"/>
            <w:tabs>
              <w:tab w:val="right" w:leader="dot" w:pos="8640"/>
            </w:tabs>
            <w:rPr>
              <w:sz w:val="28"/>
              <w:szCs w:val="28"/>
            </w:rPr>
          </w:pPr>
          <w:r>
            <w:rPr>
              <w:rFonts w:hint="eastAsia"/>
              <w:i w:val="0"/>
              <w:color w:val="1F3B66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/>
              <w:i w:val="0"/>
              <w:sz w:val="28"/>
              <w:szCs w:val="28"/>
              <w:lang w:val="en-US" w:eastAsia="zh-CN"/>
            </w:rPr>
            <w:instrText xml:space="preserve"> HYPERLINK \l _Toc17559 </w:instrText>
          </w:r>
          <w:r>
            <w:rPr>
              <w:rFonts w:hint="eastAsia"/>
              <w:i w:val="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sz w:val="28"/>
              <w:szCs w:val="44"/>
              <w:lang w:val="en-US" w:eastAsia="zh-CN"/>
            </w:rPr>
            <w:t>二、FDE服务模式简介和AI解决方案总览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_Toc17559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/>
              <w:i w:val="0"/>
              <w:color w:val="1F3B66"/>
              <w:sz w:val="28"/>
              <w:szCs w:val="28"/>
              <w:lang w:val="en-US" w:eastAsia="zh-CN"/>
            </w:rPr>
            <w:fldChar w:fldCharType="end"/>
          </w:r>
        </w:p>
        <w:p w14:paraId="45DF9D4B">
          <w:pPr>
            <w:pStyle w:val="26"/>
            <w:tabs>
              <w:tab w:val="right" w:leader="dot" w:pos="8640"/>
            </w:tabs>
            <w:rPr>
              <w:sz w:val="28"/>
              <w:szCs w:val="28"/>
            </w:rPr>
          </w:pPr>
          <w:r>
            <w:rPr>
              <w:rFonts w:hint="eastAsia"/>
              <w:i w:val="0"/>
              <w:color w:val="1F3B66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/>
              <w:i w:val="0"/>
              <w:sz w:val="28"/>
              <w:szCs w:val="28"/>
              <w:lang w:val="en-US" w:eastAsia="zh-CN"/>
            </w:rPr>
            <w:instrText xml:space="preserve"> HYPERLINK \l _Toc11683 </w:instrText>
          </w:r>
          <w:r>
            <w:rPr>
              <w:rFonts w:hint="eastAsia"/>
              <w:i w:val="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sz w:val="28"/>
              <w:szCs w:val="44"/>
              <w:lang w:val="en-US" w:eastAsia="zh-CN"/>
            </w:rPr>
            <w:t>三、鲜境AI数智化转型规划及AI提效机会地图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_Toc11683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5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/>
              <w:i w:val="0"/>
              <w:color w:val="1F3B66"/>
              <w:sz w:val="28"/>
              <w:szCs w:val="28"/>
              <w:lang w:val="en-US" w:eastAsia="zh-CN"/>
            </w:rPr>
            <w:fldChar w:fldCharType="end"/>
          </w:r>
        </w:p>
        <w:p w14:paraId="37338239">
          <w:pPr>
            <w:pStyle w:val="26"/>
            <w:tabs>
              <w:tab w:val="right" w:leader="dot" w:pos="8640"/>
            </w:tabs>
            <w:rPr>
              <w:sz w:val="28"/>
              <w:szCs w:val="28"/>
            </w:rPr>
          </w:pPr>
          <w:r>
            <w:rPr>
              <w:rFonts w:hint="eastAsia"/>
              <w:i w:val="0"/>
              <w:color w:val="1F3B66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/>
              <w:i w:val="0"/>
              <w:sz w:val="28"/>
              <w:szCs w:val="28"/>
              <w:lang w:val="en-US" w:eastAsia="zh-CN"/>
            </w:rPr>
            <w:instrText xml:space="preserve"> HYPERLINK \l _Toc21959 </w:instrText>
          </w:r>
          <w:r>
            <w:rPr>
              <w:rFonts w:hint="eastAsia"/>
              <w:i w:val="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黑体" w:hAnsi="黑体" w:eastAsia="黑体" w:cs="黑体"/>
              <w:sz w:val="28"/>
              <w:szCs w:val="44"/>
              <w:lang w:val="en-US" w:eastAsia="zh-CN"/>
            </w:rPr>
            <w:t>四、实施团队配置及项目报价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_Toc21959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/>
              <w:i w:val="0"/>
              <w:color w:val="1F3B66"/>
              <w:sz w:val="28"/>
              <w:szCs w:val="28"/>
              <w:lang w:val="en-US" w:eastAsia="zh-CN"/>
            </w:rPr>
            <w:fldChar w:fldCharType="end"/>
          </w:r>
        </w:p>
        <w:p w14:paraId="48732724">
          <w:pPr>
            <w:spacing w:before="320" w:after="160"/>
            <w:rPr>
              <w:rFonts w:hint="eastAsia" w:ascii="微软雅黑" w:hAnsi="微软雅黑" w:eastAsia="微软雅黑" w:cstheme="minorBidi"/>
              <w:i w:val="0"/>
              <w:color w:val="1F3B66"/>
              <w:sz w:val="22"/>
              <w:szCs w:val="22"/>
              <w:lang w:val="en-US" w:eastAsia="zh-CN" w:bidi="ar-SA"/>
            </w:rPr>
          </w:pPr>
          <w:r>
            <w:rPr>
              <w:rFonts w:hint="eastAsia"/>
              <w:i w:val="0"/>
              <w:color w:val="1F3B66"/>
              <w:sz w:val="28"/>
              <w:szCs w:val="28"/>
              <w:lang w:val="en-US" w:eastAsia="zh-CN"/>
            </w:rPr>
            <w:fldChar w:fldCharType="end"/>
          </w:r>
        </w:p>
      </w:sdtContent>
    </w:sdt>
    <w:p w14:paraId="3F86465D">
      <w:pPr>
        <w:spacing w:before="320" w:after="160"/>
        <w:rPr>
          <w:rFonts w:hint="eastAsia" w:ascii="微软雅黑" w:hAnsi="微软雅黑" w:eastAsia="微软雅黑" w:cstheme="minorBidi"/>
          <w:i w:val="0"/>
          <w:color w:val="1F3B66"/>
          <w:sz w:val="22"/>
          <w:szCs w:val="22"/>
          <w:lang w:val="en-US" w:eastAsia="zh-CN" w:bidi="ar-SA"/>
        </w:rPr>
      </w:pPr>
    </w:p>
    <w:p w14:paraId="0852E128">
      <w:pPr>
        <w:spacing w:before="320" w:after="160"/>
        <w:rPr>
          <w:rFonts w:hint="eastAsia"/>
          <w:b/>
          <w:i w:val="0"/>
          <w:color w:val="1F3B66"/>
          <w:sz w:val="32"/>
          <w:lang w:val="en-US" w:eastAsia="zh-CN"/>
        </w:rPr>
      </w:pPr>
    </w:p>
    <w:p w14:paraId="34D6D1E3">
      <w:pPr>
        <w:spacing w:before="320" w:after="160"/>
        <w:rPr>
          <w:rFonts w:hint="eastAsia"/>
          <w:b/>
          <w:i w:val="0"/>
          <w:color w:val="1F3B66"/>
          <w:sz w:val="32"/>
          <w:lang w:val="en-US" w:eastAsia="zh-CN"/>
        </w:rPr>
      </w:pPr>
    </w:p>
    <w:p w14:paraId="224098B9">
      <w:pPr>
        <w:spacing w:before="320" w:after="160"/>
        <w:rPr>
          <w:rFonts w:hint="eastAsia"/>
          <w:b/>
          <w:i w:val="0"/>
          <w:color w:val="1F3B66"/>
          <w:sz w:val="32"/>
          <w:lang w:val="en-US" w:eastAsia="zh-CN"/>
        </w:rPr>
      </w:pPr>
    </w:p>
    <w:p w14:paraId="3646F7F0">
      <w:pPr>
        <w:spacing w:before="320" w:after="160"/>
        <w:rPr>
          <w:rFonts w:hint="eastAsia"/>
          <w:b/>
          <w:i w:val="0"/>
          <w:color w:val="1F3B66"/>
          <w:sz w:val="32"/>
          <w:lang w:val="en-US" w:eastAsia="zh-CN"/>
        </w:rPr>
      </w:pPr>
    </w:p>
    <w:p w14:paraId="67399FB8">
      <w:pPr>
        <w:spacing w:before="320" w:after="160"/>
        <w:rPr>
          <w:rFonts w:hint="eastAsia"/>
          <w:b/>
          <w:i w:val="0"/>
          <w:color w:val="1F3B66"/>
          <w:sz w:val="32"/>
          <w:lang w:val="en-US" w:eastAsia="zh-CN"/>
        </w:rPr>
      </w:pPr>
    </w:p>
    <w:p w14:paraId="4BDEE8D6">
      <w:pPr>
        <w:spacing w:before="320" w:after="160"/>
        <w:rPr>
          <w:rFonts w:hint="eastAsia"/>
          <w:b/>
          <w:i w:val="0"/>
          <w:color w:val="1F3B66"/>
          <w:sz w:val="32"/>
          <w:lang w:val="en-US" w:eastAsia="zh-CN"/>
        </w:rPr>
      </w:pPr>
    </w:p>
    <w:p w14:paraId="06FD7230">
      <w:pPr>
        <w:pStyle w:val="3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Toc6010"/>
      <w:r>
        <w:rPr>
          <w:rFonts w:hint="eastAsia" w:ascii="黑体" w:hAnsi="黑体" w:eastAsia="黑体" w:cs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针对先境的FDE服务需求理解</w:t>
      </w:r>
      <w:bookmarkEnd w:id="0"/>
    </w:p>
    <w:p w14:paraId="586408FD">
      <w:pPr>
        <w:numPr>
          <w:numId w:val="0"/>
        </w:numPr>
        <w:rPr>
          <w:rFonts w:hint="eastAsia"/>
          <w:lang w:val="en-US" w:eastAsia="zh-CN"/>
        </w:rPr>
      </w:pPr>
    </w:p>
    <w:p w14:paraId="3D320EC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</w:pPr>
      <w:r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  <w:t>基于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与鲜境高层领导多轮的访谈和</w:t>
      </w:r>
      <w:r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  <w:t>现场调研，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本次FDE服务旨在以系统性的企业经营框架对鲜境进行全面诊断，梳理公司目前从战略落地、业务经营、组织管理、信息化管理以及AI数智化升级等方面的核心痛点，明确企业当前业务、流程、系统、数据的价值基线，进一步梳理企业AI数智化转型路径和价值地图，形成候选 AI 提效场景池。同时，采用基础业务场景MVP(</w:t>
      </w: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Minimum Viable Product，最小可行产品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)AI产品研发的方式，快速切入实际应用场景，并辅导企业实施落地，逐步形成从Agent研发到应用平滑落地的良性闭环，最终完成企业从点到线再到面的全方位生产经营提效。</w:t>
      </w:r>
    </w:p>
    <w:p w14:paraId="312F6FD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经过第一轮的调研和访谈，梳理鲜境存在以下核心痛点如下：</w:t>
      </w:r>
    </w:p>
    <w:p w14:paraId="2FCF1CD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（一）跨部门协同断层：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销售、生产、研发、订单之间信息不互通，订单「黑盒」——哪个订单走到哪个环节看不到，需人工追问、跑工厂确认；</w:t>
      </w:r>
    </w:p>
    <w:p w14:paraId="25DC8DE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（二）解决方案判定难：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产品分两大类，客户来了需先判断哪类技术适合，靠「客户问题 + 我方追问」才能定方案，高度依赖个人经验，是「卖方案」模式；</w:t>
      </w:r>
    </w:p>
    <w:p w14:paraId="00328D7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（三）询盘获客靠人工：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询盘录入人工操作易遗漏；大量 FB 询盘如「鸡肋」，人工处理量大、重复劳动多、下班无人值守；</w:t>
      </w:r>
    </w:p>
    <w:p w14:paraId="5A3257E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（四）销售培训体系弱：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无完整话术体系、无产品知识库、缺市场衔接岗位；跨团队产品信息共享不足，新产品信息只有少数人掌握；</w:t>
      </w:r>
    </w:p>
    <w:p w14:paraId="01016AD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（五）研发生产效能低：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研发近 40 人但 AI 应用停留在「当百度用」；开发模式仍以手写为主，产能与提效空间巨大；</w:t>
      </w:r>
    </w:p>
    <w:p w14:paraId="29849B9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hint="default"/>
          <w:b w:val="0"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（六）</w:t>
      </w: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数字化基础薄弱</w:t>
      </w: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：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作为产品技术领先型企业，鲜境当前数字化评分仅 2.3 分（满分 5），区管委会催促升至 3.0，影响申报「数字化 / 智慧工厂」，政府申报资质与补贴机会搁置。</w:t>
      </w:r>
    </w:p>
    <w:p w14:paraId="586F7FF7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  <w:bookmarkStart w:id="1" w:name="_Toc17559"/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二、FDE服务模式简介和AI解决方案总览</w:t>
      </w:r>
      <w:bookmarkEnd w:id="1"/>
    </w:p>
    <w:p w14:paraId="53E88846">
      <w:pPr>
        <w:rPr>
          <w:rFonts w:hint="default"/>
          <w:color w:val="auto"/>
          <w:lang w:val="en-US" w:eastAsia="zh-CN"/>
        </w:rPr>
      </w:pPr>
    </w:p>
    <w:p w14:paraId="742FA0B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采用 FDE（Forward Deployed Engineer）模式，不采用传统需求文档开发，直接深入企业理解业务、挖掘价值，以可运行MVP AI产品研发与真实业务结果建立信任，打造挖掘需求 → 场景验证 →辅导落地 → 价值运营的核心闭环。</w:t>
      </w:r>
    </w:p>
    <w:p w14:paraId="370C5E2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建模方法论：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针对企业实际业务经营价值链和组织管理现状进行系统建模，原则上采取70–80% 标准化流程工具化 + 20–30% 核心节点非标场景AI提效，兼顾企业AI落地效果与实施成本，不打破企业原有经营稳定性。</w:t>
      </w:r>
    </w:p>
    <w:p w14:paraId="446FBD8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hint="default"/>
          <w:b w:val="0"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权限管理：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为严格保障企业实际业务流程运行稳定，同时确保关键环节有人接管，建立项目实施五层门禁机制。从流程节点、权责分割、技术隔离、数据安全、检查验收五个维度保障生产运营稳定和数据安全 。</w:t>
      </w:r>
    </w:p>
    <w:p w14:paraId="2142446A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  <w:bookmarkStart w:id="2" w:name="_Toc11683"/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三、鲜境AI数智化转型规划</w:t>
      </w:r>
      <w:bookmarkEnd w:id="2"/>
    </w:p>
    <w:p w14:paraId="7A4E7E9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60" w:line="240" w:lineRule="auto"/>
        <w:ind w:firstLine="560" w:firstLineChars="200"/>
        <w:textAlignment w:val="auto"/>
        <w:rPr>
          <w:rFonts w:hint="default"/>
          <w:b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根据前期双方的深度沟通，考虑鲜境业务需求的紧急优先程度、业务复杂程度以及技术实施难度，双方目前梳理出以下需求。目前确定以</w:t>
      </w:r>
      <w:r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  <w:t xml:space="preserve">AI 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智能</w:t>
      </w:r>
      <w:r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  <w:t>客服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作为首期合作，后续根据企业进一步经营和管理诊断，再确定企业深层次需求。</w:t>
      </w:r>
    </w:p>
    <w:p w14:paraId="7860370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60" w:line="240" w:lineRule="auto"/>
        <w:textAlignment w:val="auto"/>
        <w:rPr>
          <w:rFonts w:hint="default" w:ascii="微软雅黑" w:hAnsi="微软雅黑" w:eastAsia="微软雅黑"/>
          <w:b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i w:val="0"/>
          <w:color w:val="auto"/>
          <w:sz w:val="28"/>
          <w:szCs w:val="28"/>
          <w:lang w:eastAsia="zh-CN"/>
        </w:rPr>
        <w:t>（</w:t>
      </w:r>
      <w:r>
        <w:rPr>
          <w:rFonts w:hint="eastAsia"/>
          <w:b/>
          <w:i w:val="0"/>
          <w:color w:val="auto"/>
          <w:sz w:val="28"/>
          <w:szCs w:val="28"/>
          <w:lang w:val="en-US" w:eastAsia="zh-CN"/>
        </w:rPr>
        <w:t>一）</w:t>
      </w:r>
      <w:r>
        <w:rPr>
          <w:rFonts w:ascii="微软雅黑" w:hAnsi="微软雅黑" w:eastAsia="微软雅黑"/>
          <w:b/>
          <w:i w:val="0"/>
          <w:color w:val="auto"/>
          <w:sz w:val="28"/>
          <w:szCs w:val="28"/>
        </w:rPr>
        <w:t>分阶段实施路线图</w:t>
      </w:r>
    </w:p>
    <w:p w14:paraId="7DBC2B5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color w:val="auto"/>
          <w:sz w:val="28"/>
          <w:szCs w:val="28"/>
        </w:rPr>
      </w:pPr>
      <w:r>
        <w:rPr>
          <w:rFonts w:hint="eastAsia"/>
          <w:b/>
          <w:i w:val="0"/>
          <w:color w:val="auto"/>
          <w:sz w:val="28"/>
          <w:szCs w:val="28"/>
          <w:lang w:val="en-US" w:eastAsia="zh-CN"/>
        </w:rPr>
        <w:t>第一阶段：</w:t>
      </w:r>
      <w:r>
        <w:rPr>
          <w:rFonts w:ascii="微软雅黑" w:hAnsi="微软雅黑" w:eastAsia="微软雅黑"/>
          <w:b/>
          <w:i w:val="0"/>
          <w:color w:val="auto"/>
          <w:sz w:val="28"/>
          <w:szCs w:val="28"/>
        </w:rPr>
        <w:t>AI 智能客服：</w:t>
      </w:r>
      <w:r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  <w:t xml:space="preserve">知识库 + 智能问答 + 方案生成，解决最高频、决策人最痛的客户接待场景。详见《 AI </w:t>
      </w:r>
      <w:r>
        <w:rPr>
          <w:rFonts w:hint="eastAsia"/>
          <w:b w:val="0"/>
          <w:i w:val="0"/>
          <w:color w:val="auto"/>
          <w:sz w:val="28"/>
          <w:szCs w:val="28"/>
          <w:lang w:val="en-US" w:eastAsia="zh-CN"/>
        </w:rPr>
        <w:t>智能</w:t>
      </w:r>
      <w:r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  <w:t>客服项目建议书》。</w:t>
      </w:r>
    </w:p>
    <w:p w14:paraId="3AE8C20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color w:val="auto"/>
          <w:sz w:val="28"/>
          <w:szCs w:val="28"/>
        </w:rPr>
      </w:pPr>
      <w:r>
        <w:rPr>
          <w:rFonts w:hint="eastAsia"/>
          <w:b/>
          <w:i w:val="0"/>
          <w:color w:val="auto"/>
          <w:sz w:val="28"/>
          <w:szCs w:val="28"/>
          <w:lang w:val="en-US" w:eastAsia="zh-CN"/>
        </w:rPr>
        <w:t>第二阶段：</w:t>
      </w:r>
      <w:r>
        <w:rPr>
          <w:rFonts w:ascii="微软雅黑" w:hAnsi="微软雅黑" w:eastAsia="微软雅黑"/>
          <w:b/>
          <w:i w:val="0"/>
          <w:color w:val="auto"/>
          <w:sz w:val="28"/>
          <w:szCs w:val="28"/>
        </w:rPr>
        <w:t>海外获客自动化：</w:t>
      </w:r>
      <w:r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  <w:t>全网爬取目标客户 → 筛选 → EDM 邮件营销自动化工作流，自建体系避开对第三方的数据依赖。</w:t>
      </w:r>
    </w:p>
    <w:p w14:paraId="3A9A850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color w:val="auto"/>
          <w:sz w:val="28"/>
          <w:szCs w:val="28"/>
        </w:rPr>
      </w:pPr>
      <w:r>
        <w:rPr>
          <w:rFonts w:hint="eastAsia"/>
          <w:b/>
          <w:i w:val="0"/>
          <w:color w:val="auto"/>
          <w:sz w:val="28"/>
          <w:szCs w:val="28"/>
          <w:lang w:val="en-US" w:eastAsia="zh-CN"/>
        </w:rPr>
        <w:t>第三阶段：内部协同 / 订单可视化：</w:t>
      </w:r>
      <w:r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  <w:t>打通销售—生产—研发—订单大循环，工单状态全程可见，支持「串联现有系统」或「推倒重干一个工作台」两套技术路线。</w:t>
      </w:r>
    </w:p>
    <w:p w14:paraId="7DF2D04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ind w:firstLine="560" w:firstLineChars="200"/>
        <w:textAlignment w:val="auto"/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</w:pPr>
      <w:r>
        <w:rPr>
          <w:rFonts w:hint="eastAsia"/>
          <w:b/>
          <w:i w:val="0"/>
          <w:color w:val="auto"/>
          <w:sz w:val="28"/>
          <w:szCs w:val="28"/>
          <w:lang w:val="en-US" w:eastAsia="zh-CN"/>
        </w:rPr>
        <w:t>第四阶段：</w:t>
      </w:r>
      <w:r>
        <w:rPr>
          <w:rFonts w:ascii="微软雅黑" w:hAnsi="微软雅黑" w:eastAsia="微软雅黑"/>
          <w:b/>
          <w:i w:val="0"/>
          <w:color w:val="auto"/>
          <w:sz w:val="28"/>
          <w:szCs w:val="28"/>
        </w:rPr>
        <w:t>内部 AI 提效 + 数据智能：</w:t>
      </w:r>
      <w:r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  <w:t>研发提效（零代码、AI 辅助开发）、Text-to-SQL 数据问答、经营数据看板，持续能力沉淀与跨部门复制。</w:t>
      </w:r>
    </w:p>
    <w:p w14:paraId="466B03F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60" w:line="240" w:lineRule="auto"/>
        <w:textAlignment w:val="auto"/>
        <w:rPr>
          <w:rFonts w:hint="default"/>
          <w:b/>
          <w:i w:val="0"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i w:val="0"/>
          <w:color w:val="auto"/>
          <w:sz w:val="28"/>
          <w:szCs w:val="28"/>
          <w:lang w:val="en-US" w:eastAsia="zh-CN"/>
        </w:rPr>
        <w:t>（二）AI提效场景复杂度及优先级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371"/>
        <w:gridCol w:w="2771"/>
        <w:gridCol w:w="1108"/>
      </w:tblGrid>
      <w:tr w14:paraId="444E8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  <w:shd w:val="clear" w:color="auto" w:fill="1F3B66"/>
          </w:tcPr>
          <w:p w14:paraId="274A188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8"/>
                <w:szCs w:val="28"/>
              </w:rPr>
              <w:t>优先级</w:t>
            </w:r>
          </w:p>
        </w:tc>
        <w:tc>
          <w:tcPr>
            <w:tcW w:w="3371" w:type="dxa"/>
            <w:shd w:val="clear" w:color="auto" w:fill="1F3B66"/>
          </w:tcPr>
          <w:p w14:paraId="21A1F84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8"/>
                <w:szCs w:val="28"/>
              </w:rPr>
              <w:t>场景</w:t>
            </w:r>
          </w:p>
        </w:tc>
        <w:tc>
          <w:tcPr>
            <w:tcW w:w="2771" w:type="dxa"/>
            <w:shd w:val="clear" w:color="auto" w:fill="1F3B66"/>
          </w:tcPr>
          <w:p w14:paraId="15EA212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8"/>
                <w:szCs w:val="28"/>
              </w:rPr>
              <w:t>价值点</w:t>
            </w:r>
          </w:p>
        </w:tc>
        <w:tc>
          <w:tcPr>
            <w:tcW w:w="1108" w:type="dxa"/>
            <w:shd w:val="clear" w:color="auto" w:fill="1F3B66"/>
          </w:tcPr>
          <w:p w14:paraId="28D161E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28"/>
                <w:szCs w:val="28"/>
              </w:rPr>
              <w:t>阶段</w:t>
            </w:r>
          </w:p>
        </w:tc>
      </w:tr>
      <w:tr w14:paraId="2D1E4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</w:tcPr>
          <w:p w14:paraId="5EF4B63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P0</w:t>
            </w:r>
          </w:p>
        </w:tc>
        <w:tc>
          <w:tcPr>
            <w:tcW w:w="3371" w:type="dxa"/>
          </w:tcPr>
          <w:p w14:paraId="0ED5989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AI 智能客服（客户接待知识库）</w:t>
            </w:r>
          </w:p>
        </w:tc>
        <w:tc>
          <w:tcPr>
            <w:tcW w:w="2771" w:type="dxa"/>
          </w:tcPr>
          <w:p w14:paraId="031ABE5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决策人最痛、见效快、可复用</w:t>
            </w:r>
          </w:p>
        </w:tc>
        <w:tc>
          <w:tcPr>
            <w:tcW w:w="1108" w:type="dxa"/>
          </w:tcPr>
          <w:p w14:paraId="17EA9B9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第一期</w:t>
            </w:r>
          </w:p>
        </w:tc>
      </w:tr>
      <w:tr w14:paraId="5CDB1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</w:tcPr>
          <w:p w14:paraId="2E2021A0">
            <w:pPr>
              <w:spacing w:after="0" w:line="240" w:lineRule="auto"/>
              <w:rPr>
                <w:rFonts w:hint="eastAsia" w:eastAsia="微软雅黑"/>
                <w:sz w:val="28"/>
                <w:szCs w:val="28"/>
                <w:lang w:val="en-US" w:eastAsia="zh-CN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P</w:t>
            </w:r>
            <w:r>
              <w:rPr>
                <w:rFonts w:hint="eastAsia"/>
                <w:b w:val="0"/>
                <w:i w:val="0"/>
                <w:color w:val="1F2937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371" w:type="dxa"/>
          </w:tcPr>
          <w:p w14:paraId="7AD30B1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海外获客自动化（爬虫 + EDM）</w:t>
            </w:r>
          </w:p>
        </w:tc>
        <w:tc>
          <w:tcPr>
            <w:tcW w:w="2771" w:type="dxa"/>
          </w:tcPr>
          <w:p w14:paraId="7F1B714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自建避阿里、获客规模化</w:t>
            </w:r>
          </w:p>
        </w:tc>
        <w:tc>
          <w:tcPr>
            <w:tcW w:w="1108" w:type="dxa"/>
          </w:tcPr>
          <w:p w14:paraId="797941B0">
            <w:pPr>
              <w:spacing w:after="0" w:line="240" w:lineRule="auto"/>
              <w:rPr>
                <w:rFonts w:hint="eastAsia" w:eastAsia="微软雅黑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i w:val="0"/>
                <w:color w:val="1F2937"/>
                <w:sz w:val="28"/>
                <w:szCs w:val="28"/>
                <w:lang w:val="en-US" w:eastAsia="zh-CN"/>
              </w:rPr>
              <w:t>待定</w:t>
            </w:r>
          </w:p>
        </w:tc>
      </w:tr>
      <w:tr w14:paraId="72834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</w:tcPr>
          <w:p w14:paraId="7BA5F39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P1</w:t>
            </w:r>
          </w:p>
        </w:tc>
        <w:tc>
          <w:tcPr>
            <w:tcW w:w="3371" w:type="dxa"/>
          </w:tcPr>
          <w:p w14:paraId="1C91638D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内部协同 / 订单可视化</w:t>
            </w:r>
          </w:p>
        </w:tc>
        <w:tc>
          <w:tcPr>
            <w:tcW w:w="2771" w:type="dxa"/>
          </w:tcPr>
          <w:p w14:paraId="575EEB1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打通销售—生产—研发大循环</w:t>
            </w:r>
          </w:p>
        </w:tc>
        <w:tc>
          <w:tcPr>
            <w:tcW w:w="1108" w:type="dxa"/>
          </w:tcPr>
          <w:p w14:paraId="1480DB3A">
            <w:pPr>
              <w:spacing w:after="0" w:line="240" w:lineRule="auto"/>
              <w:rPr>
                <w:rFonts w:hint="eastAsia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待定</w:t>
            </w:r>
          </w:p>
        </w:tc>
      </w:tr>
      <w:tr w14:paraId="2E7AB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</w:tcPr>
          <w:p w14:paraId="50AA23C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P1</w:t>
            </w:r>
          </w:p>
        </w:tc>
        <w:tc>
          <w:tcPr>
            <w:tcW w:w="3371" w:type="dxa"/>
          </w:tcPr>
          <w:p w14:paraId="2396296F">
            <w:pPr>
              <w:spacing w:after="0" w:line="240" w:lineRule="auto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技术内容 SEO</w:t>
            </w:r>
            <w:r>
              <w:rPr>
                <w:rFonts w:hint="eastAsia"/>
                <w:b w:val="0"/>
                <w:i w:val="0"/>
                <w:color w:val="1F2937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b w:val="0"/>
                <w:i w:val="0"/>
                <w:color w:val="1F2937"/>
                <w:sz w:val="28"/>
                <w:szCs w:val="28"/>
                <w:lang w:val="en-US" w:eastAsia="zh-CN"/>
              </w:rPr>
              <w:t>GEO</w:t>
            </w:r>
          </w:p>
        </w:tc>
        <w:tc>
          <w:tcPr>
            <w:tcW w:w="2771" w:type="dxa"/>
          </w:tcPr>
          <w:p w14:paraId="4765FC0D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长线品牌与自然流量</w:t>
            </w:r>
          </w:p>
        </w:tc>
        <w:tc>
          <w:tcPr>
            <w:tcW w:w="1108" w:type="dxa"/>
          </w:tcPr>
          <w:p w14:paraId="00F92B4A">
            <w:pPr>
              <w:spacing w:after="0" w:line="240" w:lineRule="auto"/>
              <w:rPr>
                <w:rFonts w:hint="eastAsia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待定</w:t>
            </w:r>
          </w:p>
        </w:tc>
      </w:tr>
      <w:tr w14:paraId="7EB93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</w:tcPr>
          <w:p w14:paraId="69448B7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P2</w:t>
            </w:r>
          </w:p>
        </w:tc>
        <w:tc>
          <w:tcPr>
            <w:tcW w:w="3371" w:type="dxa"/>
          </w:tcPr>
          <w:p w14:paraId="1181F1E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内部 AI 提效 + 数据智能</w:t>
            </w:r>
          </w:p>
        </w:tc>
        <w:tc>
          <w:tcPr>
            <w:tcW w:w="2771" w:type="dxa"/>
          </w:tcPr>
          <w:p w14:paraId="0CB5F90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8"/>
                <w:szCs w:val="28"/>
              </w:rPr>
              <w:t>生产力解放、经营决策</w:t>
            </w:r>
          </w:p>
        </w:tc>
        <w:tc>
          <w:tcPr>
            <w:tcW w:w="1108" w:type="dxa"/>
          </w:tcPr>
          <w:p w14:paraId="7833B880">
            <w:pPr>
              <w:spacing w:after="0" w:line="240" w:lineRule="auto"/>
              <w:rPr>
                <w:rFonts w:hint="eastAsia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待定</w:t>
            </w:r>
          </w:p>
        </w:tc>
      </w:tr>
    </w:tbl>
    <w:p w14:paraId="1228D05B">
      <w:pPr>
        <w:numPr>
          <w:numId w:val="0"/>
        </w:numPr>
        <w:spacing w:after="120"/>
        <w:ind w:leftChars="0"/>
        <w:rPr>
          <w:rFonts w:ascii="微软雅黑" w:hAnsi="微软雅黑" w:eastAsia="微软雅黑"/>
          <w:b w:val="0"/>
          <w:i w:val="0"/>
          <w:sz w:val="22"/>
        </w:rPr>
      </w:pPr>
      <w:bookmarkStart w:id="4" w:name="_GoBack"/>
      <w:bookmarkEnd w:id="4"/>
    </w:p>
    <w:p w14:paraId="1FD2916D">
      <w:pPr>
        <w:numPr>
          <w:ilvl w:val="0"/>
          <w:numId w:val="8"/>
        </w:numPr>
        <w:spacing w:after="120"/>
        <w:ind w:left="420" w:leftChars="0" w:hanging="420" w:firstLineChars="0"/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</w:pP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交付原则：按价值 × 可行性 × 难度 × 风险排序，分阶段推进。</w:t>
      </w:r>
    </w:p>
    <w:p w14:paraId="34194D8B">
      <w:pPr>
        <w:numPr>
          <w:ilvl w:val="0"/>
          <w:numId w:val="8"/>
        </w:numPr>
        <w:spacing w:after="120"/>
        <w:ind w:left="420" w:leftChars="0" w:hanging="420" w:firstLineChars="0"/>
        <w:rPr>
          <w:rFonts w:ascii="微软雅黑" w:hAnsi="微软雅黑" w:eastAsia="微软雅黑"/>
          <w:b w:val="0"/>
          <w:i w:val="0"/>
          <w:color w:val="auto"/>
          <w:sz w:val="28"/>
          <w:szCs w:val="28"/>
        </w:rPr>
      </w:pPr>
      <w:r>
        <w:rPr>
          <w:rFonts w:hint="eastAsia"/>
          <w:b/>
          <w:bCs/>
          <w:i w:val="0"/>
          <w:color w:val="auto"/>
          <w:sz w:val="28"/>
          <w:szCs w:val="28"/>
          <w:lang w:val="en-US" w:eastAsia="zh-CN"/>
        </w:rPr>
        <w:t>阶段冻结 + 结果导向：签约冻结阶段目标与 MVP 范围，而非一次性冻结全部需求；上线不等于完整交付。</w:t>
      </w:r>
    </w:p>
    <w:p w14:paraId="7EE8AFF4">
      <w:pPr>
        <w:pStyle w:val="3"/>
        <w:bidi w:val="0"/>
        <w:rPr>
          <w:rFonts w:hint="eastAsia" w:ascii="黑体" w:hAnsi="黑体" w:eastAsia="黑体" w:cs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3" w:name="_Toc21959"/>
      <w:r>
        <w:rPr>
          <w:rFonts w:hint="eastAsia" w:ascii="黑体" w:hAnsi="黑体" w:eastAsia="黑体" w:cs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四、实施团队配置及项目报价</w:t>
      </w:r>
      <w:bookmarkEnd w:id="3"/>
    </w:p>
    <w:p w14:paraId="7038310C">
      <w:pPr>
        <w:numPr>
          <w:numId w:val="0"/>
        </w:numPr>
        <w:spacing w:before="320" w:after="160"/>
        <w:rPr>
          <w:rFonts w:hint="default"/>
          <w:b/>
          <w:i w:val="0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i w:val="0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（一）顾问团队配置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4"/>
        <w:gridCol w:w="1392"/>
        <w:gridCol w:w="3720"/>
      </w:tblGrid>
      <w:tr w14:paraId="41A94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4" w:type="dxa"/>
            <w:shd w:val="clear" w:color="auto" w:fill="1F497D" w:themeFill="text2"/>
            <w:vAlign w:val="center"/>
          </w:tcPr>
          <w:p w14:paraId="7AFD25EF">
            <w:pPr>
              <w:spacing w:after="0" w:line="240" w:lineRule="auto"/>
              <w:jc w:val="left"/>
              <w:rPr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角色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14:paraId="16F98CCC">
            <w:pPr>
              <w:spacing w:after="0" w:line="240" w:lineRule="auto"/>
              <w:jc w:val="left"/>
              <w:rPr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建议配置</w:t>
            </w:r>
          </w:p>
        </w:tc>
        <w:tc>
          <w:tcPr>
            <w:tcW w:w="3720" w:type="dxa"/>
            <w:shd w:val="clear" w:color="auto" w:fill="1F497D" w:themeFill="text2"/>
            <w:vAlign w:val="center"/>
          </w:tcPr>
          <w:p w14:paraId="1F8E9FB2">
            <w:pPr>
              <w:spacing w:after="0" w:line="240" w:lineRule="auto"/>
              <w:jc w:val="left"/>
              <w:rPr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说明</w:t>
            </w:r>
          </w:p>
        </w:tc>
      </w:tr>
      <w:tr w14:paraId="35E2E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4" w:type="dxa"/>
            <w:vAlign w:val="center"/>
          </w:tcPr>
          <w:p w14:paraId="0FEB83F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FDE/解决方案负责人</w:t>
            </w:r>
          </w:p>
        </w:tc>
        <w:tc>
          <w:tcPr>
            <w:tcW w:w="1392" w:type="dxa"/>
            <w:vAlign w:val="center"/>
          </w:tcPr>
          <w:p w14:paraId="1C55082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20" w:type="dxa"/>
            <w:vAlign w:val="center"/>
          </w:tcPr>
          <w:p w14:paraId="32F9EB7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核心角色，负责现场和价值闭环</w:t>
            </w:r>
          </w:p>
        </w:tc>
      </w:tr>
      <w:tr w14:paraId="0569C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4" w:type="dxa"/>
            <w:vAlign w:val="center"/>
          </w:tcPr>
          <w:p w14:paraId="62B6F0B7">
            <w:pPr>
              <w:spacing w:after="0" w:line="240" w:lineRule="auto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BA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业务分析师）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管理</w:t>
            </w:r>
            <w:r>
              <w:rPr>
                <w:sz w:val="28"/>
                <w:szCs w:val="28"/>
              </w:rPr>
              <w:t>咨询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顾问/产品经理</w:t>
            </w:r>
          </w:p>
        </w:tc>
        <w:tc>
          <w:tcPr>
            <w:tcW w:w="1392" w:type="dxa"/>
            <w:vAlign w:val="center"/>
          </w:tcPr>
          <w:p w14:paraId="3502F4CB">
            <w:pPr>
              <w:spacing w:after="0" w:line="240" w:lineRule="auto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-2</w:t>
            </w:r>
          </w:p>
        </w:tc>
        <w:tc>
          <w:tcPr>
            <w:tcW w:w="3720" w:type="dxa"/>
            <w:vAlign w:val="center"/>
          </w:tcPr>
          <w:p w14:paraId="6EC7D4F4">
            <w:pPr>
              <w:spacing w:after="0" w:line="240" w:lineRule="auto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复杂业务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场景分析和产品规划</w:t>
            </w:r>
          </w:p>
        </w:tc>
      </w:tr>
      <w:tr w14:paraId="7813F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4" w:type="dxa"/>
            <w:vAlign w:val="center"/>
          </w:tcPr>
          <w:p w14:paraId="36530EA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AI/开发</w:t>
            </w:r>
          </w:p>
        </w:tc>
        <w:tc>
          <w:tcPr>
            <w:tcW w:w="1392" w:type="dxa"/>
            <w:vAlign w:val="center"/>
          </w:tcPr>
          <w:p w14:paraId="2B75049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</w:t>
            </w:r>
          </w:p>
        </w:tc>
        <w:tc>
          <w:tcPr>
            <w:tcW w:w="3720" w:type="dxa"/>
            <w:vAlign w:val="center"/>
          </w:tcPr>
          <w:p w14:paraId="5A76D8B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根据场景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复杂程度</w:t>
            </w:r>
            <w:r>
              <w:rPr>
                <w:sz w:val="28"/>
                <w:szCs w:val="28"/>
              </w:rPr>
              <w:t>按需投入</w:t>
            </w:r>
          </w:p>
        </w:tc>
      </w:tr>
      <w:tr w14:paraId="2DBDE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4" w:type="dxa"/>
            <w:vAlign w:val="center"/>
          </w:tcPr>
          <w:p w14:paraId="4E69BC5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项目经理</w:t>
            </w:r>
          </w:p>
        </w:tc>
        <w:tc>
          <w:tcPr>
            <w:tcW w:w="1392" w:type="dxa"/>
            <w:vAlign w:val="center"/>
          </w:tcPr>
          <w:p w14:paraId="1CE878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20" w:type="dxa"/>
            <w:vAlign w:val="center"/>
          </w:tcPr>
          <w:p w14:paraId="735CA27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进度及里程碑管理</w:t>
            </w:r>
          </w:p>
        </w:tc>
      </w:tr>
      <w:tr w14:paraId="19D2B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4" w:type="dxa"/>
            <w:vAlign w:val="center"/>
          </w:tcPr>
          <w:p w14:paraId="09AE3A7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测试/评测</w:t>
            </w:r>
          </w:p>
        </w:tc>
        <w:tc>
          <w:tcPr>
            <w:tcW w:w="1392" w:type="dxa"/>
            <w:vAlign w:val="center"/>
          </w:tcPr>
          <w:p w14:paraId="57FACA84">
            <w:pPr>
              <w:spacing w:after="0" w:line="240" w:lineRule="auto"/>
              <w:jc w:val="center"/>
              <w:rPr>
                <w:rFonts w:hint="default" w:eastAsia="微软雅黑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1-2</w:t>
            </w:r>
          </w:p>
        </w:tc>
        <w:tc>
          <w:tcPr>
            <w:tcW w:w="3720" w:type="dxa"/>
            <w:vAlign w:val="center"/>
          </w:tcPr>
          <w:p w14:paraId="72929A3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AI Eval 与 UAT</w:t>
            </w:r>
          </w:p>
        </w:tc>
      </w:tr>
      <w:tr w14:paraId="045BC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4" w:type="dxa"/>
            <w:vAlign w:val="center"/>
          </w:tcPr>
          <w:p w14:paraId="78DDFFE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运维</w:t>
            </w:r>
          </w:p>
        </w:tc>
        <w:tc>
          <w:tcPr>
            <w:tcW w:w="1392" w:type="dxa"/>
            <w:vAlign w:val="center"/>
          </w:tcPr>
          <w:p w14:paraId="31DAA3B4">
            <w:pPr>
              <w:spacing w:after="0" w:line="240" w:lineRule="auto"/>
              <w:jc w:val="center"/>
              <w:rPr>
                <w:rFonts w:hint="eastAsia" w:eastAsia="微软雅黑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720" w:type="dxa"/>
            <w:vAlign w:val="center"/>
          </w:tcPr>
          <w:p w14:paraId="338CECB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生产化后介入</w:t>
            </w:r>
          </w:p>
        </w:tc>
      </w:tr>
    </w:tbl>
    <w:p w14:paraId="41AAA46D">
      <w:pPr>
        <w:spacing w:after="120"/>
        <w:rPr>
          <w:rFonts w:hint="eastAsia"/>
          <w:b/>
          <w:bCs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· FDE 驻场 · 贴身陪跑：FDE 工程师深入业务一线，跟全流程、挖提效点，做业务与技术之间的桥梁。</w:t>
      </w:r>
    </w:p>
    <w:p w14:paraId="561C31C0">
      <w:pPr>
        <w:spacing w:after="120"/>
        <w:rPr>
          <w:rFonts w:hint="eastAsia"/>
          <w:b/>
          <w:bCs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· 持续性服务 · 共同前行：不是一锤子买卖，而是持续陪伴：月度/季度迭代、能力资产沉淀、跨场景复制。</w:t>
      </w:r>
    </w:p>
    <w:p w14:paraId="159A6F51">
      <w:pPr>
        <w:numPr>
          <w:ilvl w:val="0"/>
          <w:numId w:val="9"/>
        </w:numPr>
        <w:spacing w:before="320" w:after="160"/>
        <w:ind w:firstLine="320" w:firstLineChars="100"/>
        <w:rPr>
          <w:rFonts w:hint="default"/>
          <w:b/>
          <w:i w:val="0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i w:val="0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项目报价</w:t>
      </w:r>
    </w:p>
    <w:p w14:paraId="5528B3F5">
      <w:pPr>
        <w:spacing w:after="120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bCs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总投入 = </w:t>
      </w:r>
      <w:r>
        <w:rPr>
          <w:rFonts w:hint="eastAsia"/>
          <w:b/>
          <w:bCs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一次性研发</w:t>
      </w:r>
      <w:r>
        <w:rPr>
          <w:rFonts w:ascii="微软雅黑" w:hAnsi="微软雅黑" w:eastAsia="微软雅黑"/>
          <w:b/>
          <w:bCs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实施费 +年度订阅费。</w:t>
      </w:r>
    </w:p>
    <w:p w14:paraId="1CFB347D">
      <w:pPr>
        <w:spacing w:after="1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一次性</w:t>
      </w:r>
      <w:r>
        <w:rPr>
          <w:rFonts w:hint="eastAsia" w:ascii="微软雅黑" w:hAnsi="微软雅黑" w:eastAsia="微软雅黑"/>
          <w:b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研发</w:t>
      </w: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实施：</w:t>
      </w:r>
      <w:r>
        <w:rPr>
          <w:rFonts w:ascii="微软雅黑" w:hAnsi="微软雅黑" w:eastAsia="微软雅黑"/>
          <w:b/>
          <w:bCs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¥</w:t>
      </w:r>
      <w:r>
        <w:rPr>
          <w:rFonts w:hint="eastAsia"/>
          <w:b/>
          <w:bCs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微软雅黑" w:hAnsi="微软雅黑" w:eastAsia="微软雅黑"/>
          <w:b/>
          <w:bCs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/>
          <w:bCs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含售前demo</w:t>
      </w:r>
      <w:r>
        <w:rPr>
          <w:rFonts w:ascii="微软雅黑" w:hAnsi="微软雅黑" w:eastAsia="微软雅黑"/>
          <w:b/>
          <w:bCs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建设，税前）</w:t>
      </w:r>
    </w:p>
    <w:p w14:paraId="2514C300">
      <w:pPr>
        <w:spacing w:after="1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年度订阅费：</w:t>
      </w:r>
      <w:r>
        <w:rPr>
          <w:rFonts w:ascii="微软雅黑" w:hAnsi="微软雅黑" w:eastAsia="微软雅黑"/>
          <w:b/>
          <w:bCs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¥ </w:t>
      </w:r>
      <w:r>
        <w:rPr>
          <w:rFonts w:hint="eastAsia"/>
          <w:b w:val="0"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微软雅黑" w:hAnsi="微软雅黑" w:eastAsia="微软雅黑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/ </w:t>
      </w:r>
      <w:r>
        <w:rPr>
          <w:rFonts w:ascii="微软雅黑" w:hAnsi="微软雅黑" w:eastAsia="微软雅黑"/>
          <w:b/>
          <w:bCs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年（含模型、运维、迭代）</w:t>
      </w:r>
    </w:p>
    <w:p w14:paraId="4B483DA2">
      <w:pPr>
        <w:spacing w:after="1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首年总投入：¥</w:t>
      </w:r>
      <w:r>
        <w:rPr>
          <w:rFonts w:hint="eastAsia"/>
          <w:b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（一次性 + 首年订阅）</w:t>
      </w:r>
    </w:p>
    <w:p w14:paraId="3321ACA9">
      <w:pPr>
        <w:spacing w:after="1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说明：</w:t>
      </w:r>
      <w:r>
        <w:rPr>
          <w:rFonts w:ascii="微软雅黑" w:hAnsi="微软雅黑" w:eastAsia="微软雅黑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以上为建议报价，可根据最终 SOW 范围、知识库规模、模型选型与接入渠道数量上下调整；最终以双方签署的 SOW 与合同为准。</w:t>
      </w:r>
    </w:p>
    <w:p w14:paraId="6557FE50">
      <w:pPr>
        <w:spacing w:before="320" w:after="160"/>
        <w:rPr>
          <w:rFonts w:hint="default" w:eastAsia="微软雅黑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1、分项报价</w:t>
      </w: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明细</w:t>
      </w:r>
      <w:r>
        <w:rPr>
          <w:rFonts w:hint="eastAsia"/>
          <w:b/>
          <w:i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模板）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2"/>
        <w:gridCol w:w="4788"/>
        <w:gridCol w:w="1656"/>
      </w:tblGrid>
      <w:tr w14:paraId="7D61C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2" w:type="dxa"/>
            <w:shd w:val="clear" w:color="auto" w:fill="1F3B66"/>
          </w:tcPr>
          <w:p w14:paraId="3B082C34">
            <w:pPr>
              <w:spacing w:after="0" w:line="240" w:lineRule="auto"/>
              <w:rPr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i w:val="0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项目</w:t>
            </w:r>
          </w:p>
        </w:tc>
        <w:tc>
          <w:tcPr>
            <w:tcW w:w="4788" w:type="dxa"/>
            <w:shd w:val="clear" w:color="auto" w:fill="1F3B66"/>
          </w:tcPr>
          <w:p w14:paraId="1D34A4E2">
            <w:pPr>
              <w:spacing w:after="0" w:line="240" w:lineRule="auto"/>
              <w:rPr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i w:val="0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内容说明</w:t>
            </w:r>
          </w:p>
        </w:tc>
        <w:tc>
          <w:tcPr>
            <w:tcW w:w="1656" w:type="dxa"/>
            <w:shd w:val="clear" w:color="auto" w:fill="1F3B66"/>
          </w:tcPr>
          <w:p w14:paraId="067169F2">
            <w:pPr>
              <w:spacing w:after="0" w:line="240" w:lineRule="auto"/>
              <w:rPr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i w:val="0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金额（元）</w:t>
            </w:r>
          </w:p>
        </w:tc>
      </w:tr>
      <w:tr w14:paraId="1289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2" w:type="dxa"/>
          </w:tcPr>
          <w:p w14:paraId="40065A61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需求诊断与方案设计</w:t>
            </w:r>
          </w:p>
        </w:tc>
        <w:tc>
          <w:tcPr>
            <w:tcW w:w="4788" w:type="dxa"/>
          </w:tcPr>
          <w:p w14:paraId="51B82AF8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现场调研、接待流程梳理、方案判定逻辑萃取、SOW 确认</w:t>
            </w:r>
          </w:p>
        </w:tc>
        <w:tc>
          <w:tcPr>
            <w:tcW w:w="1656" w:type="dxa"/>
          </w:tcPr>
          <w:p w14:paraId="3BD4DF08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D43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2" w:type="dxa"/>
          </w:tcPr>
          <w:p w14:paraId="7007A653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知识库构建与内容处理</w:t>
            </w:r>
          </w:p>
        </w:tc>
        <w:tc>
          <w:tcPr>
            <w:tcW w:w="4788" w:type="dxa"/>
          </w:tcPr>
          <w:p w14:paraId="08E57811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产品/技术资料结构化、解决方案知识入库、知识库调优</w:t>
            </w:r>
          </w:p>
        </w:tc>
        <w:tc>
          <w:tcPr>
            <w:tcW w:w="1656" w:type="dxa"/>
          </w:tcPr>
          <w:p w14:paraId="5D4B3E8C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DC8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2" w:type="dxa"/>
          </w:tcPr>
          <w:p w14:paraId="5D3909C4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AI 智能问答引擎开发</w:t>
            </w:r>
          </w:p>
        </w:tc>
        <w:tc>
          <w:tcPr>
            <w:tcW w:w="4788" w:type="dxa"/>
          </w:tcPr>
          <w:p w14:paraId="33D1D476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意图识别、上下文追问、RAG 检索增强、多渠道接入</w:t>
            </w:r>
          </w:p>
        </w:tc>
        <w:tc>
          <w:tcPr>
            <w:tcW w:w="1656" w:type="dxa"/>
          </w:tcPr>
          <w:p w14:paraId="4881B8CD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121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2" w:type="dxa"/>
          </w:tcPr>
          <w:p w14:paraId="211CA27D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对话流程与方案生成</w:t>
            </w:r>
          </w:p>
        </w:tc>
        <w:tc>
          <w:tcPr>
            <w:tcW w:w="4788" w:type="dxa"/>
          </w:tcPr>
          <w:p w14:paraId="2FEE6F47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方案判定逻辑、产品组合匹配、方案文本自动生成</w:t>
            </w:r>
          </w:p>
        </w:tc>
        <w:tc>
          <w:tcPr>
            <w:tcW w:w="1656" w:type="dxa"/>
          </w:tcPr>
          <w:p w14:paraId="61165BF6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59F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2" w:type="dxa"/>
          </w:tcPr>
          <w:p w14:paraId="6116BDD7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测试与 AI Eval</w:t>
            </w:r>
          </w:p>
        </w:tc>
        <w:tc>
          <w:tcPr>
            <w:tcW w:w="4788" w:type="dxa"/>
          </w:tcPr>
          <w:p w14:paraId="3A6EE33A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功能测试、AI 效果评测（准确率/幻觉率等）、UAT 组织</w:t>
            </w:r>
          </w:p>
        </w:tc>
        <w:tc>
          <w:tcPr>
            <w:tcW w:w="1656" w:type="dxa"/>
          </w:tcPr>
          <w:p w14:paraId="56A35736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CFE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2" w:type="dxa"/>
          </w:tcPr>
          <w:p w14:paraId="6D561728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项目管理</w:t>
            </w:r>
          </w:p>
        </w:tc>
        <w:tc>
          <w:tcPr>
            <w:tcW w:w="4788" w:type="dxa"/>
          </w:tcPr>
          <w:p w14:paraId="6756DF2C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计划、进度、风险、验收管理</w:t>
            </w:r>
          </w:p>
        </w:tc>
        <w:tc>
          <w:tcPr>
            <w:tcW w:w="1656" w:type="dxa"/>
          </w:tcPr>
          <w:p w14:paraId="5E4B9040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D2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2" w:type="dxa"/>
          </w:tcPr>
          <w:p w14:paraId="0DAB6475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一次性实施费合计</w:t>
            </w:r>
          </w:p>
        </w:tc>
        <w:tc>
          <w:tcPr>
            <w:tcW w:w="4788" w:type="dxa"/>
          </w:tcPr>
          <w:p w14:paraId="488F2BE5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6" w:type="dxa"/>
          </w:tcPr>
          <w:p w14:paraId="7F912F0A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346600A">
      <w:pPr>
        <w:spacing w:before="320" w:after="160"/>
        <w:rPr>
          <w:rFonts w:hint="default" w:eastAsia="微软雅黑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年度订阅费明细</w:t>
      </w:r>
      <w:r>
        <w:rPr>
          <w:rFonts w:hint="eastAsia"/>
          <w:b/>
          <w:i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模板）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0"/>
        <w:gridCol w:w="4856"/>
        <w:gridCol w:w="1560"/>
      </w:tblGrid>
      <w:tr w14:paraId="18E3D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0" w:type="dxa"/>
            <w:shd w:val="clear" w:color="auto" w:fill="1F3B66"/>
          </w:tcPr>
          <w:p w14:paraId="3A85236C">
            <w:pPr>
              <w:spacing w:after="0" w:line="240" w:lineRule="auto"/>
              <w:rPr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i w:val="0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项目</w:t>
            </w:r>
          </w:p>
        </w:tc>
        <w:tc>
          <w:tcPr>
            <w:tcW w:w="4856" w:type="dxa"/>
            <w:shd w:val="clear" w:color="auto" w:fill="1F3B66"/>
          </w:tcPr>
          <w:p w14:paraId="4573E4B8">
            <w:pPr>
              <w:spacing w:after="0" w:line="240" w:lineRule="auto"/>
              <w:rPr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i w:val="0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内容说明</w:t>
            </w:r>
          </w:p>
        </w:tc>
        <w:tc>
          <w:tcPr>
            <w:tcW w:w="1560" w:type="dxa"/>
            <w:shd w:val="clear" w:color="auto" w:fill="1F3B66"/>
          </w:tcPr>
          <w:p w14:paraId="55A60C94">
            <w:pPr>
              <w:spacing w:after="0" w:line="240" w:lineRule="auto"/>
              <w:rPr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i w:val="0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金额（元/年）</w:t>
            </w:r>
          </w:p>
        </w:tc>
      </w:tr>
      <w:tr w14:paraId="5DC5F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0" w:type="dxa"/>
          </w:tcPr>
          <w:p w14:paraId="7CE19872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模型 / Token 调用</w:t>
            </w:r>
          </w:p>
        </w:tc>
        <w:tc>
          <w:tcPr>
            <w:tcW w:w="4856" w:type="dxa"/>
          </w:tcPr>
          <w:p w14:paraId="7AF71DD3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大模型调用成本（按实际用量浮动，此处为预估上限）</w:t>
            </w:r>
          </w:p>
        </w:tc>
        <w:tc>
          <w:tcPr>
            <w:tcW w:w="1560" w:type="dxa"/>
          </w:tcPr>
          <w:p w14:paraId="2F0E2764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CAE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0" w:type="dxa"/>
          </w:tcPr>
          <w:p w14:paraId="30215003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运维监控与版本管理</w:t>
            </w:r>
          </w:p>
        </w:tc>
        <w:tc>
          <w:tcPr>
            <w:tcW w:w="4856" w:type="dxa"/>
          </w:tcPr>
          <w:p w14:paraId="5B8EAC61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系统运维、监控告警、版本升级、故障处理</w:t>
            </w:r>
          </w:p>
        </w:tc>
        <w:tc>
          <w:tcPr>
            <w:tcW w:w="1560" w:type="dxa"/>
          </w:tcPr>
          <w:p w14:paraId="54D9E2DE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94E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0" w:type="dxa"/>
          </w:tcPr>
          <w:p w14:paraId="4538D6A0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知识库持续更新</w:t>
            </w:r>
          </w:p>
        </w:tc>
        <w:tc>
          <w:tcPr>
            <w:tcW w:w="4856" w:type="dxa"/>
          </w:tcPr>
          <w:p w14:paraId="21515CD0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新产品/新技术资料入库、知识库定期校准</w:t>
            </w:r>
          </w:p>
        </w:tc>
        <w:tc>
          <w:tcPr>
            <w:tcW w:w="1560" w:type="dxa"/>
          </w:tcPr>
          <w:p w14:paraId="366D15F8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2CD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0" w:type="dxa"/>
          </w:tcPr>
          <w:p w14:paraId="4DB54629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效果优化与迭代</w:t>
            </w:r>
          </w:p>
        </w:tc>
        <w:tc>
          <w:tcPr>
            <w:tcW w:w="4856" w:type="dxa"/>
          </w:tcPr>
          <w:p w14:paraId="16E79C5C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对话效果优化、功能迭代、AI Eval 持续评测</w:t>
            </w:r>
          </w:p>
        </w:tc>
        <w:tc>
          <w:tcPr>
            <w:tcW w:w="1560" w:type="dxa"/>
          </w:tcPr>
          <w:p w14:paraId="68203FCB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DE8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0" w:type="dxa"/>
          </w:tcPr>
          <w:p w14:paraId="2BD43FC6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年度订阅费合计</w:t>
            </w:r>
          </w:p>
        </w:tc>
        <w:tc>
          <w:tcPr>
            <w:tcW w:w="4856" w:type="dxa"/>
          </w:tcPr>
          <w:p w14:paraId="2861E339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</w:tcPr>
          <w:p w14:paraId="65F61228">
            <w:pPr>
              <w:spacing w:after="0" w:line="240" w:lineRule="auto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41F2655">
      <w:pPr>
        <w:spacing w:before="320" w:after="160"/>
        <w:rPr>
          <w:rFonts w:hint="default" w:eastAsia="微软雅黑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商务条款</w:t>
      </w:r>
    </w:p>
    <w:p w14:paraId="7795CBA8">
      <w:pPr>
        <w:spacing w:after="1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 付款方式（一次性实施费）：</w:t>
      </w:r>
      <w:r>
        <w:rPr>
          <w:rFonts w:ascii="微软雅黑" w:hAnsi="微软雅黑" w:eastAsia="微软雅黑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签约支付 40%，上线验收支付 40%，质保期（验收后 3 个月）满支付 20%。</w:t>
      </w:r>
    </w:p>
    <w:p w14:paraId="507F5003">
      <w:pPr>
        <w:spacing w:after="1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 付款方式（年度订阅费）：</w:t>
      </w:r>
      <w:r>
        <w:rPr>
          <w:rFonts w:ascii="微软雅黑" w:hAnsi="微软雅黑" w:eastAsia="微软雅黑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按年或按季预付，续费需提前 30 天确认。</w:t>
      </w:r>
    </w:p>
    <w:p w14:paraId="3B90920E">
      <w:pPr>
        <w:spacing w:after="1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 报价有效期：</w:t>
      </w:r>
      <w:r>
        <w:rPr>
          <w:rFonts w:ascii="微软雅黑" w:hAnsi="微软雅黑" w:eastAsia="微软雅黑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自出具之日起 30 天。</w:t>
      </w:r>
    </w:p>
    <w:p w14:paraId="3AC50006">
      <w:pPr>
        <w:spacing w:after="1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 范围变更：</w:t>
      </w:r>
      <w:r>
        <w:rPr>
          <w:rFonts w:ascii="微软雅黑" w:hAnsi="微软雅黑" w:eastAsia="微软雅黑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新增渠道、知识库规模扩大、定制功能等按变更流程另行评估计价。</w:t>
      </w:r>
    </w:p>
    <w:p w14:paraId="127BA7A4">
      <w:pPr>
        <w:spacing w:after="1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 知识产权：</w:t>
      </w:r>
      <w:r>
        <w:rPr>
          <w:rFonts w:ascii="微软雅黑" w:hAnsi="微软雅黑" w:eastAsia="微软雅黑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交付的定制功能与知识库归客户所有；我方保留底层通用组件与技术框架的复用权。</w:t>
      </w:r>
    </w:p>
    <w:p w14:paraId="0881C0B7">
      <w:pPr>
        <w:spacing w:after="1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 数据安全：</w:t>
      </w:r>
      <w:r>
        <w:rPr>
          <w:rFonts w:ascii="微软雅黑" w:hAnsi="微软雅黑" w:eastAsia="微软雅黑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客户数据自主可控，不依赖第三方平台存储；敏感信息按约定脱敏与权限隔离。</w:t>
      </w:r>
    </w:p>
    <w:p w14:paraId="001DA7D4">
      <w:pPr>
        <w:spacing w:after="1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 验收标准：</w:t>
      </w:r>
      <w:r>
        <w:rPr>
          <w:rFonts w:ascii="微软雅黑" w:hAnsi="微软雅黑" w:eastAsia="微软雅黑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以双方确认的功能清单与 AI Eval 指标阈值为验收依据。</w:t>
      </w:r>
    </w:p>
    <w:p w14:paraId="14D14D11">
      <w:pPr>
        <w:numPr>
          <w:numId w:val="0"/>
        </w:numPr>
        <w:spacing w:before="320" w:after="160"/>
        <w:rPr>
          <w:rFonts w:hint="default"/>
          <w:b/>
          <w:i w:val="0"/>
          <w:color w:val="1F3B66"/>
          <w:sz w:val="32"/>
          <w:lang w:val="en-US" w:eastAsia="zh-CN"/>
        </w:rPr>
      </w:pPr>
    </w:p>
    <w:p w14:paraId="65E1F1DB">
      <w:pPr>
        <w:spacing w:after="120"/>
        <w:ind w:firstLine="560" w:firstLineChars="200"/>
        <w:rPr>
          <w:rFonts w:hint="eastAsia"/>
          <w:b/>
          <w:bCs/>
          <w:i w:val="0"/>
          <w:color w:val="47536A"/>
          <w:sz w:val="28"/>
          <w:szCs w:val="28"/>
          <w:lang w:val="en-US" w:eastAsia="zh-CN"/>
        </w:rPr>
      </w:pPr>
    </w:p>
    <w:p w14:paraId="11FFF438">
      <w:pPr>
        <w:spacing w:after="120"/>
        <w:ind w:firstLine="560" w:firstLineChars="200"/>
        <w:rPr>
          <w:rFonts w:hint="eastAsia"/>
          <w:b/>
          <w:bCs/>
          <w:i w:val="0"/>
          <w:color w:val="47536A"/>
          <w:sz w:val="28"/>
          <w:szCs w:val="28"/>
          <w:lang w:val="en-US" w:eastAsia="zh-CN"/>
        </w:rPr>
      </w:pPr>
    </w:p>
    <w:p w14:paraId="1E1C5DD6">
      <w:pPr>
        <w:pStyle w:val="16"/>
        <w:numPr>
          <w:numId w:val="0"/>
        </w:numPr>
        <w:spacing w:after="80"/>
        <w:ind w:leftChars="0"/>
      </w:pPr>
    </w:p>
    <w:sectPr>
      <w:foot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B5410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5AA283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5AA283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DA3F38"/>
    <w:multiLevelType w:val="singleLevel"/>
    <w:tmpl w:val="93DA3F3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1F2C9C1D"/>
    <w:multiLevelType w:val="singleLevel"/>
    <w:tmpl w:val="1F2C9C1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8">
    <w:nsid w:val="39296546"/>
    <w:multiLevelType w:val="singleLevel"/>
    <w:tmpl w:val="3929654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D926DF"/>
    <w:rsid w:val="416A430A"/>
    <w:rsid w:val="429B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toc 1"/>
    <w:basedOn w:val="1"/>
    <w:next w:val="1"/>
    <w:semiHidden/>
    <w:unhideWhenUsed/>
    <w:uiPriority w:val="39"/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30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9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2205</Words>
  <Characters>2466</Characters>
  <Lines>0</Lines>
  <Paragraphs>0</Paragraphs>
  <TotalTime>7</TotalTime>
  <ScaleCrop>false</ScaleCrop>
  <LinksUpToDate>false</LinksUpToDate>
  <CharactersWithSpaces>2707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空腹熊猫</cp:lastModifiedBy>
  <dcterms:modified xsi:type="dcterms:W3CDTF">2026-08-21T08:31:42Z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eyJoZGlkIjoiM2ZiN2NlMzg2NGRhN2NmZjE5ODAyNDNhNzE3ZDhlMjQiLCJ1c2VySWQiOiIzOTU5Njg2NzYifQ==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AB9C2E07AC0B4433B7CCEBE61CCAB672_13</vt:lpwstr>
  </property>
</Properties>
</file>